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F90" w:rsidRPr="00DB6794" w:rsidRDefault="00105218" w:rsidP="00DB6794">
      <w:pPr>
        <w:pStyle w:val="NoSpacing"/>
        <w:rPr>
          <w:rFonts w:ascii="Times New Roman" w:hAnsi="Times New Roman"/>
          <w:sz w:val="24"/>
          <w:szCs w:val="24"/>
        </w:rPr>
      </w:pPr>
      <w:bookmarkStart w:id="0" w:name="_GoBack"/>
      <w:bookmarkEnd w:id="0"/>
      <w:r w:rsidRPr="00DB6794">
        <w:rPr>
          <w:rFonts w:ascii="Times New Roman" w:hAnsi="Times New Roman"/>
          <w:sz w:val="24"/>
          <w:szCs w:val="24"/>
        </w:rPr>
        <w:t xml:space="preserve">Br.: </w:t>
      </w:r>
      <w:r w:rsidR="00DB6794" w:rsidRPr="00DB6794">
        <w:rPr>
          <w:rFonts w:ascii="Times New Roman" w:hAnsi="Times New Roman"/>
          <w:sz w:val="24"/>
          <w:szCs w:val="24"/>
        </w:rPr>
        <w:t>365/18</w:t>
      </w:r>
    </w:p>
    <w:p w:rsidR="00105218" w:rsidRPr="00DB6794" w:rsidRDefault="00105218" w:rsidP="00DB6794">
      <w:pPr>
        <w:pStyle w:val="NoSpacing"/>
        <w:rPr>
          <w:rFonts w:ascii="Times New Roman" w:hAnsi="Times New Roman"/>
          <w:sz w:val="24"/>
          <w:szCs w:val="24"/>
        </w:rPr>
      </w:pPr>
      <w:r w:rsidRPr="00DB6794">
        <w:rPr>
          <w:rFonts w:ascii="Times New Roman" w:hAnsi="Times New Roman"/>
          <w:sz w:val="24"/>
          <w:szCs w:val="24"/>
        </w:rPr>
        <w:t xml:space="preserve">Tivat: </w:t>
      </w:r>
      <w:r w:rsidR="00DB6794" w:rsidRPr="00DB6794">
        <w:rPr>
          <w:rFonts w:ascii="Times New Roman" w:hAnsi="Times New Roman"/>
          <w:sz w:val="24"/>
          <w:szCs w:val="24"/>
        </w:rPr>
        <w:t>05.09.2018</w:t>
      </w:r>
    </w:p>
    <w:p w:rsidR="00DB6794" w:rsidRPr="00DB6794" w:rsidRDefault="00DB6794" w:rsidP="00DB6794">
      <w:pPr>
        <w:pStyle w:val="NoSpacing"/>
        <w:jc w:val="right"/>
        <w:rPr>
          <w:rFonts w:ascii="Times New Roman" w:hAnsi="Times New Roman"/>
          <w:sz w:val="24"/>
          <w:szCs w:val="24"/>
        </w:rPr>
      </w:pPr>
      <w:r w:rsidRPr="00DB6794">
        <w:rPr>
          <w:rFonts w:ascii="Times New Roman" w:hAnsi="Times New Roman"/>
          <w:sz w:val="24"/>
          <w:szCs w:val="24"/>
        </w:rPr>
        <w:t>Služba Skupštine opštine Tivat</w:t>
      </w:r>
    </w:p>
    <w:p w:rsidR="00DB6794" w:rsidRPr="00DB6794" w:rsidRDefault="00DB6794" w:rsidP="00DB6794">
      <w:pPr>
        <w:pStyle w:val="NoSpacing"/>
        <w:jc w:val="right"/>
        <w:rPr>
          <w:rFonts w:ascii="Times New Roman" w:hAnsi="Times New Roman"/>
          <w:sz w:val="24"/>
          <w:szCs w:val="24"/>
        </w:rPr>
      </w:pPr>
      <w:r w:rsidRPr="00DB6794">
        <w:rPr>
          <w:rFonts w:ascii="Times New Roman" w:hAnsi="Times New Roman"/>
          <w:sz w:val="24"/>
          <w:szCs w:val="24"/>
        </w:rPr>
        <w:t>n/r. Predsjedniku Skupštine opštine Tivat</w:t>
      </w:r>
    </w:p>
    <w:p w:rsidR="00DB6794" w:rsidRPr="00DB6794" w:rsidRDefault="00DB6794" w:rsidP="00DB6794">
      <w:pPr>
        <w:pStyle w:val="NoSpacing"/>
        <w:jc w:val="right"/>
        <w:rPr>
          <w:rFonts w:ascii="Times New Roman" w:hAnsi="Times New Roman"/>
          <w:sz w:val="24"/>
          <w:szCs w:val="24"/>
        </w:rPr>
      </w:pPr>
      <w:r w:rsidRPr="00DB6794">
        <w:rPr>
          <w:rFonts w:ascii="Times New Roman" w:hAnsi="Times New Roman"/>
          <w:sz w:val="24"/>
          <w:szCs w:val="24"/>
        </w:rPr>
        <w:t>Ivanu Novoselu</w:t>
      </w:r>
    </w:p>
    <w:p w:rsidR="00DB6794" w:rsidRPr="00DB6794" w:rsidRDefault="00DB6794" w:rsidP="00DB6794">
      <w:pPr>
        <w:pStyle w:val="NoSpacing"/>
        <w:jc w:val="right"/>
        <w:rPr>
          <w:rFonts w:ascii="Times New Roman" w:hAnsi="Times New Roman"/>
          <w:sz w:val="24"/>
          <w:szCs w:val="24"/>
        </w:rPr>
      </w:pPr>
      <w:r w:rsidRPr="00DB6794">
        <w:rPr>
          <w:rFonts w:ascii="Times New Roman" w:hAnsi="Times New Roman"/>
          <w:sz w:val="24"/>
          <w:szCs w:val="24"/>
        </w:rPr>
        <w:t>n/r. Sekretaru</w:t>
      </w:r>
    </w:p>
    <w:p w:rsidR="00DB6794" w:rsidRPr="00DB6794" w:rsidRDefault="00DB6794" w:rsidP="00DB6794">
      <w:pPr>
        <w:pStyle w:val="NoSpacing"/>
        <w:jc w:val="right"/>
        <w:rPr>
          <w:rFonts w:ascii="Times New Roman" w:hAnsi="Times New Roman"/>
          <w:sz w:val="24"/>
          <w:szCs w:val="24"/>
        </w:rPr>
      </w:pPr>
      <w:r w:rsidRPr="00DB6794">
        <w:rPr>
          <w:rFonts w:ascii="Times New Roman" w:hAnsi="Times New Roman"/>
          <w:sz w:val="24"/>
          <w:szCs w:val="24"/>
        </w:rPr>
        <w:t>Goranu Baboviću</w:t>
      </w:r>
    </w:p>
    <w:p w:rsidR="00105218" w:rsidRDefault="00105218" w:rsidP="00DB6794">
      <w:pPr>
        <w:jc w:val="right"/>
        <w:rPr>
          <w:rFonts w:ascii="Times New Roman" w:hAnsi="Times New Roman"/>
          <w:sz w:val="24"/>
          <w:szCs w:val="24"/>
        </w:rPr>
      </w:pPr>
    </w:p>
    <w:p w:rsidR="00105218" w:rsidRDefault="00105218" w:rsidP="00105218">
      <w:pPr>
        <w:spacing w:after="0" w:line="240" w:lineRule="auto"/>
        <w:jc w:val="both"/>
        <w:rPr>
          <w:rFonts w:ascii="Times New Roman" w:hAnsi="Times New Roman"/>
          <w:i/>
          <w:iCs/>
          <w:sz w:val="24"/>
          <w:szCs w:val="24"/>
        </w:rPr>
      </w:pPr>
      <w:r>
        <w:rPr>
          <w:rFonts w:ascii="Times New Roman" w:hAnsi="Times New Roman"/>
          <w:i/>
          <w:iCs/>
          <w:sz w:val="24"/>
          <w:szCs w:val="24"/>
        </w:rPr>
        <w:t>Predmet:</w:t>
      </w:r>
    </w:p>
    <w:p w:rsidR="00105218" w:rsidRPr="00105218" w:rsidRDefault="00105218" w:rsidP="00105218">
      <w:pPr>
        <w:spacing w:after="0" w:line="240" w:lineRule="auto"/>
        <w:jc w:val="both"/>
        <w:rPr>
          <w:rFonts w:ascii="Times New Roman" w:hAnsi="Times New Roman"/>
          <w:b/>
          <w:i/>
          <w:iCs/>
          <w:sz w:val="24"/>
          <w:szCs w:val="24"/>
        </w:rPr>
      </w:pPr>
      <w:r w:rsidRPr="00105218">
        <w:rPr>
          <w:rFonts w:ascii="Times New Roman" w:hAnsi="Times New Roman"/>
          <w:b/>
          <w:i/>
          <w:iCs/>
          <w:sz w:val="24"/>
          <w:szCs w:val="24"/>
        </w:rPr>
        <w:t>DODATAK</w:t>
      </w:r>
      <w:r w:rsidR="00EE2890">
        <w:rPr>
          <w:rFonts w:ascii="Times New Roman" w:hAnsi="Times New Roman"/>
          <w:b/>
          <w:i/>
          <w:iCs/>
          <w:sz w:val="24"/>
          <w:szCs w:val="24"/>
        </w:rPr>
        <w:t xml:space="preserve"> Obrazloženje</w:t>
      </w:r>
      <w:r w:rsidRPr="00105218">
        <w:rPr>
          <w:rFonts w:ascii="Times New Roman" w:hAnsi="Times New Roman"/>
          <w:b/>
          <w:i/>
          <w:iCs/>
          <w:sz w:val="24"/>
          <w:szCs w:val="24"/>
        </w:rPr>
        <w:t xml:space="preserve"> Finansijskg Izvještaja o radu TO opštine Tivat za 2017.godinu:</w:t>
      </w:r>
    </w:p>
    <w:p w:rsidR="00105218" w:rsidRPr="00105218" w:rsidRDefault="00105218" w:rsidP="00105218">
      <w:pPr>
        <w:spacing w:after="0" w:line="240" w:lineRule="auto"/>
        <w:jc w:val="both"/>
        <w:rPr>
          <w:rFonts w:ascii="Times New Roman" w:hAnsi="Times New Roman"/>
          <w:i/>
          <w:iCs/>
          <w:sz w:val="24"/>
          <w:szCs w:val="24"/>
        </w:rPr>
      </w:pPr>
    </w:p>
    <w:p w:rsidR="00DB6794" w:rsidRDefault="00DB6794" w:rsidP="00105218">
      <w:pPr>
        <w:spacing w:after="0" w:line="240" w:lineRule="auto"/>
        <w:jc w:val="both"/>
        <w:rPr>
          <w:rFonts w:ascii="Times New Roman" w:hAnsi="Times New Roman"/>
          <w:iCs/>
          <w:sz w:val="24"/>
          <w:szCs w:val="24"/>
        </w:rPr>
      </w:pPr>
      <w:r>
        <w:rPr>
          <w:rFonts w:ascii="Times New Roman" w:hAnsi="Times New Roman"/>
          <w:iCs/>
          <w:sz w:val="24"/>
          <w:szCs w:val="24"/>
        </w:rPr>
        <w:t>Shodno Zaključku br.</w:t>
      </w:r>
      <w:r w:rsidR="00EE2890">
        <w:rPr>
          <w:rFonts w:ascii="Times New Roman" w:hAnsi="Times New Roman"/>
          <w:iCs/>
          <w:sz w:val="24"/>
          <w:szCs w:val="24"/>
        </w:rPr>
        <w:t xml:space="preserve"> 0304-032-287/1, u nastavku je O</w:t>
      </w:r>
      <w:r>
        <w:rPr>
          <w:rFonts w:ascii="Times New Roman" w:hAnsi="Times New Roman"/>
          <w:iCs/>
          <w:sz w:val="24"/>
          <w:szCs w:val="24"/>
        </w:rPr>
        <w:t>bra</w:t>
      </w:r>
      <w:r w:rsidR="00EE2890">
        <w:rPr>
          <w:rFonts w:ascii="Times New Roman" w:hAnsi="Times New Roman"/>
          <w:iCs/>
          <w:sz w:val="24"/>
          <w:szCs w:val="24"/>
        </w:rPr>
        <w:t>zloženje kao prilog Finansijskog</w:t>
      </w:r>
      <w:r>
        <w:rPr>
          <w:rFonts w:ascii="Times New Roman" w:hAnsi="Times New Roman"/>
          <w:iCs/>
          <w:sz w:val="24"/>
          <w:szCs w:val="24"/>
        </w:rPr>
        <w:t xml:space="preserve"> Izv</w:t>
      </w:r>
      <w:r w:rsidR="00EE2890">
        <w:rPr>
          <w:rFonts w:ascii="Times New Roman" w:hAnsi="Times New Roman"/>
          <w:iCs/>
          <w:sz w:val="24"/>
          <w:szCs w:val="24"/>
        </w:rPr>
        <w:t>ještaja</w:t>
      </w:r>
      <w:r>
        <w:rPr>
          <w:rFonts w:ascii="Times New Roman" w:hAnsi="Times New Roman"/>
          <w:iCs/>
          <w:sz w:val="24"/>
          <w:szCs w:val="24"/>
        </w:rPr>
        <w:t xml:space="preserve"> o radu TO Tivat za 2017.godinu, koji </w:t>
      </w:r>
      <w:r w:rsidR="00EE2890">
        <w:rPr>
          <w:rFonts w:ascii="Times New Roman" w:hAnsi="Times New Roman"/>
          <w:iCs/>
          <w:sz w:val="24"/>
          <w:szCs w:val="24"/>
        </w:rPr>
        <w:t>je na</w:t>
      </w:r>
      <w:r>
        <w:rPr>
          <w:rFonts w:ascii="Times New Roman" w:hAnsi="Times New Roman"/>
          <w:iCs/>
          <w:sz w:val="24"/>
          <w:szCs w:val="24"/>
        </w:rPr>
        <w:t xml:space="preserve"> sjednici 29.08.2018 </w:t>
      </w:r>
      <w:r w:rsidR="00EE2890">
        <w:rPr>
          <w:rFonts w:ascii="Times New Roman" w:hAnsi="Times New Roman"/>
          <w:iCs/>
          <w:sz w:val="24"/>
          <w:szCs w:val="24"/>
        </w:rPr>
        <w:t xml:space="preserve">predočen usmenim obraćanjem </w:t>
      </w:r>
    </w:p>
    <w:p w:rsidR="00DB6794" w:rsidRDefault="00DB6794" w:rsidP="00105218">
      <w:pPr>
        <w:spacing w:after="0" w:line="240" w:lineRule="auto"/>
        <w:jc w:val="both"/>
        <w:rPr>
          <w:rFonts w:ascii="Times New Roman" w:hAnsi="Times New Roman"/>
          <w:iCs/>
          <w:sz w:val="24"/>
          <w:szCs w:val="24"/>
        </w:rPr>
      </w:pPr>
    </w:p>
    <w:p w:rsidR="00105218" w:rsidRPr="00105218" w:rsidRDefault="00DB6794" w:rsidP="00105218">
      <w:pPr>
        <w:spacing w:after="0" w:line="240" w:lineRule="auto"/>
        <w:jc w:val="both"/>
        <w:rPr>
          <w:rFonts w:ascii="Times New Roman" w:hAnsi="Times New Roman"/>
          <w:i/>
          <w:iCs/>
          <w:sz w:val="24"/>
          <w:szCs w:val="24"/>
        </w:rPr>
      </w:pPr>
      <w:r>
        <w:rPr>
          <w:rFonts w:ascii="Times New Roman" w:hAnsi="Times New Roman"/>
          <w:iCs/>
          <w:sz w:val="24"/>
          <w:szCs w:val="24"/>
        </w:rPr>
        <w:t>“</w:t>
      </w:r>
      <w:r w:rsidR="00105218" w:rsidRPr="00105218">
        <w:rPr>
          <w:rFonts w:ascii="Times New Roman" w:hAnsi="Times New Roman"/>
          <w:i/>
          <w:iCs/>
          <w:sz w:val="24"/>
          <w:szCs w:val="24"/>
        </w:rPr>
        <w:t xml:space="preserve">Najveći rashodi su se u 2017. godini desili u dijelu najvažnije stavke u poslovanju TO Tivat, a to su marketinške aktivnosti. U Izvještaju planirana stavka u ovom dijelu je sa 406,500.00 eura porasla u realizovanim rashodima na 437,728.53 eura. </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Ovaj dio se odnosi na sledeće aktivnosti:</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Turističke priloge u medijima kao što su: tekstovi i reportaže, kratki video zapisi i filmovi, nastupi na tv</w:t>
      </w:r>
      <w:r>
        <w:rPr>
          <w:rFonts w:ascii="Times New Roman" w:hAnsi="Times New Roman"/>
          <w:i/>
          <w:iCs/>
          <w:sz w:val="24"/>
          <w:szCs w:val="24"/>
        </w:rPr>
        <w:t>-u</w:t>
      </w:r>
      <w:r w:rsidRPr="00105218">
        <w:rPr>
          <w:rFonts w:ascii="Times New Roman" w:hAnsi="Times New Roman"/>
          <w:i/>
          <w:iCs/>
          <w:sz w:val="24"/>
          <w:szCs w:val="24"/>
        </w:rPr>
        <w:t>, emisije</w:t>
      </w:r>
      <w:r>
        <w:rPr>
          <w:rFonts w:ascii="Times New Roman" w:hAnsi="Times New Roman"/>
          <w:i/>
          <w:iCs/>
          <w:sz w:val="24"/>
          <w:szCs w:val="24"/>
        </w:rPr>
        <w:t xml:space="preserve"> i prilozi</w:t>
      </w:r>
      <w:r w:rsidRPr="00105218">
        <w:rPr>
          <w:rFonts w:ascii="Times New Roman" w:hAnsi="Times New Roman"/>
          <w:i/>
          <w:iCs/>
          <w:sz w:val="24"/>
          <w:szCs w:val="24"/>
        </w:rPr>
        <w:t xml:space="preserve"> i td.</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zatim u ovu stavku ulaze Sajamski nastupi i razni oblici promocije u zemlji i insostranstvu, a nisu konkretno sajmovi - gdje je u cilju promocije bilo neophodno prisustvo predstavnika TO Tivat, a to su aktivnosti: promocija N.G, biznis forumi, pobratimski projekti i td.</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zatim, ovdje ulazi i finasiranje svih drugih projekata koje su radile druge organizacije uz podršku ostalih LTO, kao i vid sufinasiranja manifestacija od značaja za razvoj i promociju turizma na području opštine Tivat. Pored ovih stavki, ovdje se misli in a potpuno novi projekte koji se nisu planirali, ove godine je to bio slučaj sa Tivat World Music Festival, čiji su se troškovi finasirali dijelom iz fonda opredijeljenih sredstava TLJF (Tivatske ljetnje fešte), dijelom iz sredstava održivog razvoja turizma, kao i sufenisranja manifestacija od značaja. Ovaj festival kao sasvim novi projekat sa idejom održavanja u septembru mjesecu, je na upravljačkom nivou sa svim odborima smatran kao vrlo opravdan u pogledu podrške TOT-a.</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xml:space="preserve">- TLJF sa LJDU (Ljeto dobrog ukusa), koji je od planiranih 98.000, se u ukupnom iznosu povećao na realizovanih 147,105.21 euro, iz već opisanog razloga finansiranja projekta festivala, ali i cjelokupno </w:t>
      </w:r>
      <w:r w:rsidRPr="00105218">
        <w:rPr>
          <w:rFonts w:ascii="Times New Roman" w:hAnsi="Times New Roman"/>
          <w:i/>
          <w:iCs/>
          <w:sz w:val="24"/>
          <w:szCs w:val="24"/>
        </w:rPr>
        <w:lastRenderedPageBreak/>
        <w:t>jačeg i efektnijeg programa koji je medijski odjeknuo kako u periodu njegove promocije u predsezonskom periodu, tako i u dijelu cjelokupne marketing strategije, čiji su benefiti već bili vidljivi tokom same sezone ali i drugom dijelu godine prilikom promocije destinacije za NG program, kada je bilo puno lakše promovisati materijal za destinaciju pozantu po kulturn-zabavnim manifestacijama. Puno veći benefiti su bili vidljivi upravo u ovoj sezoni - 2018, koja je po svim statističkim parametrima dobrano premašila prethodnu. O svemu ovome svjedoči preko 50 različitih programa u 5 mjeseci trajanja, sa ukupnim iznosima od: 90.000,00 eura potrošenih samo na honorare izvođača; 30.000,00 eura za iznajmljivanje tehničke opreme; kao i ostale troškove koji se odnose na: smještaj izvođača 6000 eura, obezbjeđenje manifestacija 5500 eura, hitnu pomoć blizu 2000 eura, pojedine troškove prevoza (gdje je to bilo zahtijevano); snimanja manifestacija; zatim projekte uključene u ovaj fond TLJF kao što su: IN ART festival, City Games, Gumball, razni sajmovi i slična druga učešća TOT-a.</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xml:space="preserve">Za sve programe je uložen trud organizacije da ih sve skupa sabere i objedini u jedinstven kalendar dešavanja. </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Stavka koja je bila neophodna da se nađe u sklopu marketinških aktivnosti, a nije sastavni dio ovog Izvještaja, već se izdvojila u dijelu posljednje stavke - neplaniranih troškova, sa opravdanjem da ga knjigovodstvena agencija koja vodi računovodstvene poslove TOT-a nije mogla rasčlaniti u svom dijelu prikazivanja u konkretnim slučajevima razvrstanim po vrstama. Ovdje se misli na poreze na ugovore o djelu, koji se odnsoe na cjelokupnu 2017.godinu, što skupa čine i izvođači TLJF i NG programa, ali i svih ostalih mjeseci kada je TOT kreirala ovakve vrste ugovora za potrebe muzičke podrške prijekata. Ovaj dio se odnosi na iznos od 11,770.73 eura.</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Pored ove stavke, takav slučaj je i sa stavkom ostalih troškova (odnoseći se na cjelokupnu 2017.godinu), gdje između ostalih troškova spadaju i pojedini troškovi smještaja za neka učešća TOT-a (noćenja zaposlenih) u projektima u CG – biznis forumi, noćenja poslovnih partnera organizacije, blogera, pobratima, sponzorstava koja su se opredijelila u vidu smještaja i sl. Ovaj dio se odnosi na iznos od 5,292.00 eura.</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U narednom periodu, za Izvještaj 2018.godine, jasno će se sa knjigovodstvenom agencijom (kojoj je ovo bila prva godina rada za TO) rasčlaniti sve obaveze, u cilju preciznijeg razvrstavanja po vrstama, na koje se određene stavke odnose, shodno predviđenim pozicijama za tu svrhu. U troškove marketinških aktivnosti, svakako spada i projekat NG programa.</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 xml:space="preserve">- Projekat NG programa je jasno obrazložen na stranici 24 Izvještaja o radu, sa svim razvrstanim troškovima koje je za tu namjenu opredijelila TO Tivat, kao i opština Tivat u dijelu njihovih Planom planiranih sredstava u vidu dotacije TOT-u. Takođe, obazloženje je vezano u ovom dijelu i za posjete i noćenja u toku trajanja programa, sa jasnom paralelom u usporedbi sa prethodnom 2016. godinom u </w:t>
      </w:r>
      <w:r w:rsidRPr="00105218">
        <w:rPr>
          <w:rFonts w:ascii="Times New Roman" w:hAnsi="Times New Roman"/>
          <w:i/>
          <w:iCs/>
          <w:sz w:val="24"/>
          <w:szCs w:val="24"/>
        </w:rPr>
        <w:lastRenderedPageBreak/>
        <w:t>dijelu kolektivnog i privatnog smještaja, kao i svim ostalim infomacijama u dijelu marketinških aktivnosti i vidljivostima cjelokupne pomenute kampanje.</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TO Tivat je ostvarila pozitivan finansijski rezultat po osnovu svih prihoda, najvećim dijelom od boravišne takse, odakle se generiše najveći prihod TO, sa zabilježenim porastom od blizu 28% u odnosu na 2016.godinu, odn. ukupnog iznosa od blizu 350,000.00 eura koji shodno Zakonu o boravišnoj taski pripada LTO od 80% . što sve predstvalja resurs iz kojeg TO crpi sve pomenute marketinške aktivnosti i gradu ih istom mjerom vraća nazad.</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Naravno tu su neizostavni i ostali prihodi TOT-a – prihod od turističke takse sa zabilježenim porastomo od blizu 50% i člasnkog doprinosa, nešto manje od 1%</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Kako su rasli prihodi, gdje je zabilježen ukupan skok od 11% u odnosu na planirane vrijednosti i 36% u odnosu na 2016.godinu, rashodi su takođe proporcionalno rasli. Pored marketinških aktivnosti, određena sredstva su uložena u prostor za rad stručne službe i pojedine turističko informativne biroe – najviše biro-centru koji radi cijele godine, kao i birou u PM. U pitanju je iznos od 9,971.31 eura. Ova stavka spada u dio neplanirah troškova, jer se potreba za opremanjem prostorija i sredstava za rad organizacije, nametnula u hodu, sa razlogom slanja što reperezentativnije poruke (kao državne ustanove od opšteg javnog interesa), u čijim se prostorijama svi posjetioci  trebaju osjećati prijatno.</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Svi rashodi su u ukupnom dijelu porasli za oko 6% u odnosu na planirane vrijednosti, što generalno posmatrano, a iz vizure upravljačke strukture, nije veliko odstupanje u odnosu na benefite koje će u konačnici pokazati i 2018.godina. Postoji i konstantno prisutno mišljenje da je marketing važna oblast u organizacijama koje se bave manifestacijama i stavka na koju se čini da je uvijek nedovoljno sredstava opredijeljeno.</w:t>
      </w:r>
    </w:p>
    <w:p w:rsidR="00105218" w:rsidRPr="00105218" w:rsidRDefault="00105218" w:rsidP="00105218">
      <w:pPr>
        <w:spacing w:after="0" w:line="240" w:lineRule="auto"/>
        <w:jc w:val="both"/>
        <w:rPr>
          <w:rFonts w:ascii="Times New Roman" w:hAnsi="Times New Roman"/>
          <w:i/>
          <w:iCs/>
          <w:sz w:val="24"/>
          <w:szCs w:val="24"/>
        </w:rPr>
      </w:pPr>
      <w:r w:rsidRPr="00105218">
        <w:rPr>
          <w:rFonts w:ascii="Times New Roman" w:hAnsi="Times New Roman"/>
          <w:i/>
          <w:iCs/>
          <w:sz w:val="24"/>
          <w:szCs w:val="24"/>
        </w:rPr>
        <w:t>Izvještaj o radu u opisnom dijelu je vrlo detaljan i deskriptivan (o čemu svjedoči ukupnih 37  stranica podijeljenih u tri godišnja perioda posmatranja – predsezonski, sezonski i postsezonski, a što će se kao manir zadržati i u narednim izvještajima), radi lakše opservacije urađenog. Svi podaci su transparentni, zajedno sa bilansima stanja i uspjeha, kao i Zaključnim listom po kome je Finansijki Izvještaj i pripremljen. U izještaju su na ovaj način nevedene i sve stavke koje nisu realizovane u 2017.godini a bile su planirane, sa obrazloženjem  i što će se</w:t>
      </w:r>
      <w:r w:rsidR="00DB6794">
        <w:rPr>
          <w:rFonts w:ascii="Times New Roman" w:hAnsi="Times New Roman"/>
          <w:i/>
          <w:iCs/>
          <w:sz w:val="24"/>
          <w:szCs w:val="24"/>
        </w:rPr>
        <w:t xml:space="preserve"> po tom pitanju dalje preduzeti.”</w:t>
      </w:r>
    </w:p>
    <w:p w:rsidR="00105218" w:rsidRPr="00105218" w:rsidRDefault="00105218" w:rsidP="00105218"/>
    <w:p w:rsidR="00037B87" w:rsidRPr="00105218" w:rsidRDefault="00105218">
      <w:pPr>
        <w:rPr>
          <w:rFonts w:ascii="Times New Roman" w:hAnsi="Times New Roman"/>
          <w:sz w:val="24"/>
          <w:szCs w:val="24"/>
        </w:rPr>
      </w:pPr>
      <w:r w:rsidRPr="00105218">
        <w:rPr>
          <w:rFonts w:ascii="Times New Roman" w:hAnsi="Times New Roman"/>
          <w:sz w:val="24"/>
          <w:szCs w:val="24"/>
        </w:rPr>
        <w:t>Direktorica stručne službe TO opštine Tivat</w:t>
      </w:r>
    </w:p>
    <w:p w:rsidR="00105218" w:rsidRPr="00105218" w:rsidRDefault="00105218">
      <w:pPr>
        <w:rPr>
          <w:rFonts w:ascii="Times New Roman" w:hAnsi="Times New Roman"/>
          <w:sz w:val="24"/>
          <w:szCs w:val="24"/>
        </w:rPr>
      </w:pPr>
      <w:r w:rsidRPr="00105218">
        <w:rPr>
          <w:rFonts w:ascii="Times New Roman" w:hAnsi="Times New Roman"/>
          <w:sz w:val="24"/>
          <w:szCs w:val="24"/>
        </w:rPr>
        <w:t>Gabrijela Glavočić</w:t>
      </w:r>
    </w:p>
    <w:sectPr w:rsidR="00105218" w:rsidRPr="00105218" w:rsidSect="003A1167">
      <w:headerReference w:type="default" r:id="rId7"/>
      <w:footerReference w:type="default" r:id="rId8"/>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C8D" w:rsidRDefault="00EF7C8D">
      <w:r>
        <w:separator/>
      </w:r>
    </w:p>
  </w:endnote>
  <w:endnote w:type="continuationSeparator" w:id="0">
    <w:p w:rsidR="00EF7C8D" w:rsidRDefault="00EF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39A" w:rsidRPr="004B139A" w:rsidRDefault="004B139A" w:rsidP="004B139A">
    <w:pPr>
      <w:pStyle w:val="NoSpacing"/>
      <w:jc w:val="center"/>
      <w:rPr>
        <w:b/>
        <w:color w:val="002060"/>
        <w:sz w:val="28"/>
        <w:szCs w:val="28"/>
        <w:lang w:val="sr-Latn-CS"/>
      </w:rPr>
    </w:pPr>
    <w:r w:rsidRPr="004B139A">
      <w:rPr>
        <w:rStyle w:val="Hyperlink"/>
        <w:b/>
        <w:color w:val="002060"/>
        <w:u w:val="none"/>
        <w:lang w:val="sr-Latn-CS"/>
      </w:rPr>
      <w:t>___________________________________________________________________________________________</w:t>
    </w:r>
  </w:p>
  <w:p w:rsidR="004B139A" w:rsidRDefault="004B139A" w:rsidP="004B139A">
    <w:pPr>
      <w:pStyle w:val="NoSpacing"/>
      <w:jc w:val="center"/>
      <w:rPr>
        <w:color w:val="002060"/>
        <w:lang w:val="sr-Latn-CS"/>
      </w:rPr>
    </w:pPr>
  </w:p>
  <w:p w:rsidR="009949E1" w:rsidRPr="004B139A" w:rsidRDefault="009949E1" w:rsidP="004B139A">
    <w:pPr>
      <w:pStyle w:val="NoSpacing"/>
      <w:jc w:val="center"/>
      <w:rPr>
        <w:color w:val="002060"/>
        <w:lang w:val="sr-Latn-CS"/>
      </w:rPr>
    </w:pPr>
    <w:r w:rsidRPr="004B139A">
      <w:rPr>
        <w:color w:val="002060"/>
        <w:lang w:val="sr-Latn-CS"/>
      </w:rPr>
      <w:t>Turistička organi</w:t>
    </w:r>
    <w:r w:rsidR="00D3239C" w:rsidRPr="004B139A">
      <w:rPr>
        <w:color w:val="002060"/>
        <w:lang w:val="sr-Latn-CS"/>
      </w:rPr>
      <w:t>zacija Tivat, ul. Palih boraca 19</w:t>
    </w:r>
    <w:r w:rsidRPr="004B139A">
      <w:rPr>
        <w:color w:val="002060"/>
        <w:lang w:val="sr-Latn-CS"/>
      </w:rPr>
      <w:t>, 85320 Tivat, Crna Gora</w:t>
    </w:r>
  </w:p>
  <w:p w:rsidR="00C9151E" w:rsidRPr="004B139A" w:rsidRDefault="009949E1" w:rsidP="004B139A">
    <w:pPr>
      <w:pStyle w:val="NoSpacing"/>
      <w:jc w:val="center"/>
      <w:rPr>
        <w:color w:val="002060"/>
        <w:lang w:val="sr-Latn-CS"/>
      </w:rPr>
    </w:pPr>
    <w:r w:rsidRPr="004B139A">
      <w:rPr>
        <w:color w:val="002060"/>
        <w:lang w:val="sr-Latn-CS"/>
      </w:rPr>
      <w:t xml:space="preserve">Tel: +382 32 671 324 – </w:t>
    </w:r>
    <w:r w:rsidR="00D3239C" w:rsidRPr="004B139A">
      <w:rPr>
        <w:color w:val="002060"/>
        <w:lang w:val="sr-Latn-CS"/>
      </w:rPr>
      <w:t xml:space="preserve">Tel: +382 660 165 - </w:t>
    </w:r>
    <w:r w:rsidRPr="004B139A">
      <w:rPr>
        <w:color w:val="002060"/>
        <w:lang w:val="sr-Latn-CS"/>
      </w:rPr>
      <w:t>Tel / Fax: +382 32 671 323,</w:t>
    </w:r>
  </w:p>
  <w:p w:rsidR="004B139A" w:rsidRPr="004B139A" w:rsidRDefault="00D3239C" w:rsidP="004B139A">
    <w:pPr>
      <w:pStyle w:val="NoSpacing"/>
      <w:jc w:val="center"/>
      <w:rPr>
        <w:color w:val="002060"/>
      </w:rPr>
    </w:pPr>
    <w:r w:rsidRPr="004B139A">
      <w:rPr>
        <w:color w:val="002060"/>
        <w:lang w:val="sr-Latn-CS"/>
      </w:rPr>
      <w:t xml:space="preserve">e-mail: </w:t>
    </w:r>
    <w:r w:rsidR="004B139A" w:rsidRPr="004B139A">
      <w:rPr>
        <w:color w:val="002060"/>
        <w:lang w:val="sr-Latn-CS"/>
      </w:rPr>
      <w:t>tivatravel</w:t>
    </w:r>
    <w:r w:rsidR="004B139A" w:rsidRPr="004B139A">
      <w:rPr>
        <w:color w:val="002060"/>
      </w:rPr>
      <w:t>@gmail.com</w:t>
    </w:r>
  </w:p>
  <w:p w:rsidR="004B139A" w:rsidRDefault="00EF7C8D" w:rsidP="004B139A">
    <w:pPr>
      <w:pStyle w:val="NoSpacing"/>
      <w:jc w:val="center"/>
      <w:rPr>
        <w:b/>
        <w:u w:val="single"/>
        <w:lang w:val="sr-Latn-CS"/>
      </w:rPr>
    </w:pPr>
    <w:hyperlink r:id="rId1" w:history="1">
      <w:r w:rsidR="008C4753" w:rsidRPr="004B139A">
        <w:rPr>
          <w:rStyle w:val="Hyperlink"/>
          <w:b/>
          <w:lang w:val="sr-Latn-CS"/>
        </w:rPr>
        <w:t>www.tivat.travel</w:t>
      </w:r>
    </w:hyperlink>
  </w:p>
  <w:p w:rsidR="009949E1" w:rsidRPr="004B139A" w:rsidRDefault="009949E1" w:rsidP="004B139A">
    <w:pPr>
      <w:pStyle w:val="NoSpacing"/>
      <w:jc w:val="center"/>
      <w:rPr>
        <w:b/>
        <w:color w:val="002060"/>
        <w:u w:val="single"/>
        <w:lang w:val="sr-Latn-CS"/>
      </w:rPr>
    </w:pPr>
    <w:r w:rsidRPr="004B139A">
      <w:rPr>
        <w:color w:val="002060"/>
        <w:lang w:val="sr-Latn-CS"/>
      </w:rPr>
      <w:t>ŽIRO RAČUN: 510 8953 50 CKB</w:t>
    </w:r>
  </w:p>
  <w:p w:rsidR="009949E1" w:rsidRPr="004B139A" w:rsidRDefault="009949E1" w:rsidP="004B139A">
    <w:pPr>
      <w:pStyle w:val="NoSpacing"/>
      <w:jc w:val="center"/>
      <w:rPr>
        <w:color w:val="002060"/>
        <w:lang w:val="sr-Latn-CS"/>
      </w:rPr>
    </w:pPr>
    <w:r w:rsidRPr="004B139A">
      <w:rPr>
        <w:color w:val="002060"/>
        <w:lang w:val="sr-Latn-CS"/>
      </w:rPr>
      <w:t>PIB: 02428695</w:t>
    </w:r>
  </w:p>
  <w:p w:rsidR="009949E1" w:rsidRDefault="009949E1" w:rsidP="00C9151E">
    <w:pPr>
      <w:pStyle w:val="Footer"/>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C8D" w:rsidRDefault="00EF7C8D">
      <w:r>
        <w:separator/>
      </w:r>
    </w:p>
  </w:footnote>
  <w:footnote w:type="continuationSeparator" w:id="0">
    <w:p w:rsidR="00EF7C8D" w:rsidRDefault="00EF7C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8E2" w:rsidRDefault="00AF18E2" w:rsidP="00AF18E2">
    <w:pPr>
      <w:pStyle w:val="Header"/>
      <w:jc w:val="center"/>
    </w:pPr>
    <w:r>
      <w:rPr>
        <w:noProof/>
      </w:rPr>
      <w:drawing>
        <wp:inline distT="0" distB="0" distL="0" distR="0" wp14:anchorId="4AC0FC7D" wp14:editId="68A31795">
          <wp:extent cx="857250" cy="723900"/>
          <wp:effectExtent l="133350" t="57150" r="76200" b="114300"/>
          <wp:docPr id="2" name="Picture 2" descr="TO TIV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TIVAT 1"/>
                  <pic:cNvPicPr>
                    <a:picLocks noChangeAspect="1" noChangeArrowheads="1"/>
                  </pic:cNvPicPr>
                </pic:nvPicPr>
                <pic:blipFill>
                  <a:blip r:embed="rId1"/>
                  <a:srcRect/>
                  <a:stretch>
                    <a:fillRect/>
                  </a:stretch>
                </pic:blipFill>
                <pic:spPr bwMode="auto">
                  <a:xfrm>
                    <a:off x="0" y="0"/>
                    <a:ext cx="85725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18E2" w:rsidRPr="004B139A" w:rsidRDefault="00AF18E2" w:rsidP="00AF18E2">
    <w:pPr>
      <w:pStyle w:val="NoSpacing"/>
      <w:jc w:val="center"/>
      <w:rPr>
        <w:b/>
        <w:color w:val="002060"/>
        <w:sz w:val="28"/>
        <w:szCs w:val="28"/>
        <w:lang w:val="sr-Latn-CS"/>
      </w:rPr>
    </w:pPr>
    <w:r w:rsidRPr="004B139A">
      <w:rPr>
        <w:b/>
        <w:color w:val="002060"/>
        <w:sz w:val="28"/>
        <w:szCs w:val="28"/>
        <w:lang w:val="sr-Latn-CS"/>
      </w:rPr>
      <w:t>TURISTIČKA ORGANIZACIJA TIVAT</w:t>
    </w:r>
  </w:p>
  <w:p w:rsidR="00AF18E2" w:rsidRDefault="00EF7C8D" w:rsidP="00AF18E2">
    <w:pPr>
      <w:pStyle w:val="NoSpacing"/>
      <w:jc w:val="center"/>
      <w:rPr>
        <w:rStyle w:val="Hyperlink"/>
        <w:b/>
        <w:lang w:val="sr-Latn-CS"/>
      </w:rPr>
    </w:pPr>
    <w:hyperlink r:id="rId2" w:history="1">
      <w:r w:rsidR="00AF18E2" w:rsidRPr="00D84A9C">
        <w:rPr>
          <w:rStyle w:val="Hyperlink"/>
          <w:b/>
          <w:lang w:val="sr-Latn-CS"/>
        </w:rPr>
        <w:t>www.tivat.travel</w:t>
      </w:r>
    </w:hyperlink>
  </w:p>
  <w:p w:rsidR="009949E1" w:rsidRPr="004B139A" w:rsidRDefault="00AF18E2" w:rsidP="00AF18E2">
    <w:pPr>
      <w:pStyle w:val="NoSpacing"/>
      <w:jc w:val="center"/>
      <w:rPr>
        <w:b/>
        <w:color w:val="002060"/>
        <w:sz w:val="28"/>
        <w:szCs w:val="28"/>
        <w:lang w:val="sr-Latn-CS"/>
      </w:rPr>
    </w:pPr>
    <w:r w:rsidRPr="004B139A">
      <w:rPr>
        <w:rStyle w:val="Hyperlink"/>
        <w:b/>
        <w:color w:val="002060"/>
        <w:u w:val="none"/>
        <w:lang w:val="sr-Latn-CS"/>
      </w:rPr>
      <w:t>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1616C"/>
    <w:multiLevelType w:val="hybridMultilevel"/>
    <w:tmpl w:val="1D162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4B5CF2"/>
    <w:multiLevelType w:val="multilevel"/>
    <w:tmpl w:val="BB54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FC7C15"/>
    <w:multiLevelType w:val="multilevel"/>
    <w:tmpl w:val="F13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9E1"/>
    <w:rsid w:val="000228F9"/>
    <w:rsid w:val="0003080C"/>
    <w:rsid w:val="00037B87"/>
    <w:rsid w:val="000765CA"/>
    <w:rsid w:val="000A2B4E"/>
    <w:rsid w:val="00105218"/>
    <w:rsid w:val="00154827"/>
    <w:rsid w:val="001633B1"/>
    <w:rsid w:val="0017209F"/>
    <w:rsid w:val="00187C57"/>
    <w:rsid w:val="001D7E33"/>
    <w:rsid w:val="001F3A77"/>
    <w:rsid w:val="00277305"/>
    <w:rsid w:val="00310D31"/>
    <w:rsid w:val="00321051"/>
    <w:rsid w:val="003240CE"/>
    <w:rsid w:val="00326F36"/>
    <w:rsid w:val="003332CF"/>
    <w:rsid w:val="0033690F"/>
    <w:rsid w:val="00370E69"/>
    <w:rsid w:val="003A1167"/>
    <w:rsid w:val="003A12CC"/>
    <w:rsid w:val="003A5775"/>
    <w:rsid w:val="003F239B"/>
    <w:rsid w:val="00420D4E"/>
    <w:rsid w:val="004673BA"/>
    <w:rsid w:val="004922DD"/>
    <w:rsid w:val="004B139A"/>
    <w:rsid w:val="00500712"/>
    <w:rsid w:val="0050369E"/>
    <w:rsid w:val="00503EEF"/>
    <w:rsid w:val="00505C87"/>
    <w:rsid w:val="00554FDE"/>
    <w:rsid w:val="005563A9"/>
    <w:rsid w:val="005B0C2F"/>
    <w:rsid w:val="005B45DE"/>
    <w:rsid w:val="005D152A"/>
    <w:rsid w:val="0068190A"/>
    <w:rsid w:val="00690E97"/>
    <w:rsid w:val="00696910"/>
    <w:rsid w:val="006D130F"/>
    <w:rsid w:val="00720FE0"/>
    <w:rsid w:val="00735819"/>
    <w:rsid w:val="00742440"/>
    <w:rsid w:val="007F3CB8"/>
    <w:rsid w:val="008207B3"/>
    <w:rsid w:val="00850677"/>
    <w:rsid w:val="008777CE"/>
    <w:rsid w:val="00882E81"/>
    <w:rsid w:val="008B794C"/>
    <w:rsid w:val="008C4753"/>
    <w:rsid w:val="009831A4"/>
    <w:rsid w:val="00986F6C"/>
    <w:rsid w:val="009949E1"/>
    <w:rsid w:val="009B4C57"/>
    <w:rsid w:val="00A30133"/>
    <w:rsid w:val="00AA4AE4"/>
    <w:rsid w:val="00AE64CC"/>
    <w:rsid w:val="00AF18E2"/>
    <w:rsid w:val="00B226B3"/>
    <w:rsid w:val="00B37F14"/>
    <w:rsid w:val="00B42F8B"/>
    <w:rsid w:val="00C42F90"/>
    <w:rsid w:val="00C9151E"/>
    <w:rsid w:val="00CA57F7"/>
    <w:rsid w:val="00CF45E7"/>
    <w:rsid w:val="00D13910"/>
    <w:rsid w:val="00D3239C"/>
    <w:rsid w:val="00D56160"/>
    <w:rsid w:val="00D601E4"/>
    <w:rsid w:val="00D83C09"/>
    <w:rsid w:val="00D913C7"/>
    <w:rsid w:val="00DB6794"/>
    <w:rsid w:val="00E26290"/>
    <w:rsid w:val="00E43AA8"/>
    <w:rsid w:val="00EE2890"/>
    <w:rsid w:val="00EF7C8D"/>
    <w:rsid w:val="00F24A72"/>
    <w:rsid w:val="00F445E8"/>
    <w:rsid w:val="00F522A5"/>
    <w:rsid w:val="00F8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587-B350-4C5F-A9BB-D6246339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E1"/>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49E1"/>
    <w:pPr>
      <w:tabs>
        <w:tab w:val="center" w:pos="4320"/>
        <w:tab w:val="right" w:pos="8640"/>
      </w:tabs>
    </w:pPr>
  </w:style>
  <w:style w:type="paragraph" w:styleId="Footer">
    <w:name w:val="footer"/>
    <w:basedOn w:val="Normal"/>
    <w:rsid w:val="009949E1"/>
    <w:pPr>
      <w:tabs>
        <w:tab w:val="center" w:pos="4320"/>
        <w:tab w:val="right" w:pos="8640"/>
      </w:tabs>
    </w:pPr>
  </w:style>
  <w:style w:type="character" w:styleId="Hyperlink">
    <w:name w:val="Hyperlink"/>
    <w:basedOn w:val="DefaultParagraphFont"/>
    <w:rsid w:val="009949E1"/>
    <w:rPr>
      <w:color w:val="0000FF"/>
      <w:u w:val="single"/>
    </w:rPr>
  </w:style>
  <w:style w:type="paragraph" w:styleId="NoSpacing">
    <w:name w:val="No Spacing"/>
    <w:qFormat/>
    <w:rsid w:val="009949E1"/>
    <w:rPr>
      <w:rFonts w:ascii="Calibri" w:hAnsi="Calibri"/>
      <w:sz w:val="22"/>
      <w:szCs w:val="22"/>
    </w:rPr>
  </w:style>
  <w:style w:type="paragraph" w:styleId="BalloonText">
    <w:name w:val="Balloon Text"/>
    <w:basedOn w:val="Normal"/>
    <w:link w:val="BalloonTextChar"/>
    <w:rsid w:val="00503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0369E"/>
    <w:rPr>
      <w:rFonts w:ascii="Tahoma" w:hAnsi="Tahoma" w:cs="Tahoma"/>
      <w:sz w:val="16"/>
      <w:szCs w:val="16"/>
    </w:rPr>
  </w:style>
  <w:style w:type="paragraph" w:styleId="ListParagraph">
    <w:name w:val="List Paragraph"/>
    <w:basedOn w:val="Normal"/>
    <w:uiPriority w:val="34"/>
    <w:qFormat/>
    <w:rsid w:val="005563A9"/>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950315">
      <w:bodyDiv w:val="1"/>
      <w:marLeft w:val="0"/>
      <w:marRight w:val="0"/>
      <w:marTop w:val="0"/>
      <w:marBottom w:val="0"/>
      <w:divBdr>
        <w:top w:val="none" w:sz="0" w:space="0" w:color="auto"/>
        <w:left w:val="none" w:sz="0" w:space="0" w:color="auto"/>
        <w:bottom w:val="none" w:sz="0" w:space="0" w:color="auto"/>
        <w:right w:val="none" w:sz="0" w:space="0" w:color="auto"/>
      </w:divBdr>
      <w:divsChild>
        <w:div w:id="583227272">
          <w:marLeft w:val="0"/>
          <w:marRight w:val="0"/>
          <w:marTop w:val="0"/>
          <w:marBottom w:val="0"/>
          <w:divBdr>
            <w:top w:val="none" w:sz="0" w:space="0" w:color="auto"/>
            <w:left w:val="none" w:sz="0" w:space="0" w:color="auto"/>
            <w:bottom w:val="none" w:sz="0" w:space="0" w:color="auto"/>
            <w:right w:val="none" w:sz="0" w:space="0" w:color="auto"/>
          </w:divBdr>
          <w:divsChild>
            <w:div w:id="1508206720">
              <w:marLeft w:val="0"/>
              <w:marRight w:val="0"/>
              <w:marTop w:val="0"/>
              <w:marBottom w:val="0"/>
              <w:divBdr>
                <w:top w:val="none" w:sz="0" w:space="0" w:color="auto"/>
                <w:left w:val="none" w:sz="0" w:space="0" w:color="auto"/>
                <w:bottom w:val="none" w:sz="0" w:space="0" w:color="auto"/>
                <w:right w:val="none" w:sz="0" w:space="0" w:color="auto"/>
              </w:divBdr>
              <w:divsChild>
                <w:div w:id="341517096">
                  <w:marLeft w:val="0"/>
                  <w:marRight w:val="0"/>
                  <w:marTop w:val="0"/>
                  <w:marBottom w:val="0"/>
                  <w:divBdr>
                    <w:top w:val="none" w:sz="0" w:space="0" w:color="auto"/>
                    <w:left w:val="none" w:sz="0" w:space="0" w:color="auto"/>
                    <w:bottom w:val="none" w:sz="0" w:space="0" w:color="auto"/>
                    <w:right w:val="none" w:sz="0" w:space="0" w:color="auto"/>
                  </w:divBdr>
                  <w:divsChild>
                    <w:div w:id="1706561407">
                      <w:marLeft w:val="0"/>
                      <w:marRight w:val="0"/>
                      <w:marTop w:val="0"/>
                      <w:marBottom w:val="0"/>
                      <w:divBdr>
                        <w:top w:val="none" w:sz="0" w:space="0" w:color="auto"/>
                        <w:left w:val="none" w:sz="0" w:space="0" w:color="auto"/>
                        <w:bottom w:val="none" w:sz="0" w:space="0" w:color="auto"/>
                        <w:right w:val="none" w:sz="0" w:space="0" w:color="auto"/>
                      </w:divBdr>
                      <w:divsChild>
                        <w:div w:id="8436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06762">
          <w:marLeft w:val="0"/>
          <w:marRight w:val="0"/>
          <w:marTop w:val="0"/>
          <w:marBottom w:val="0"/>
          <w:divBdr>
            <w:top w:val="none" w:sz="0" w:space="0" w:color="auto"/>
            <w:left w:val="none" w:sz="0" w:space="0" w:color="auto"/>
            <w:bottom w:val="none" w:sz="0" w:space="0" w:color="auto"/>
            <w:right w:val="none" w:sz="0" w:space="0" w:color="auto"/>
          </w:divBdr>
        </w:div>
        <w:div w:id="261378138">
          <w:marLeft w:val="0"/>
          <w:marRight w:val="0"/>
          <w:marTop w:val="0"/>
          <w:marBottom w:val="0"/>
          <w:divBdr>
            <w:top w:val="none" w:sz="0" w:space="0" w:color="auto"/>
            <w:left w:val="none" w:sz="0" w:space="0" w:color="auto"/>
            <w:bottom w:val="none" w:sz="0" w:space="0" w:color="auto"/>
            <w:right w:val="none" w:sz="0" w:space="0" w:color="auto"/>
          </w:divBdr>
        </w:div>
        <w:div w:id="851145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ivat.trave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tivat.travel"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Profaktura br</vt:lpstr>
    </vt:vector>
  </TitlesOfParts>
  <Company>TOTIV</Company>
  <LinksUpToDate>false</LinksUpToDate>
  <CharactersWithSpaces>7600</CharactersWithSpaces>
  <SharedDoc>false</SharedDoc>
  <HLinks>
    <vt:vector size="6" baseType="variant">
      <vt:variant>
        <vt:i4>131102</vt:i4>
      </vt:variant>
      <vt:variant>
        <vt:i4>0</vt:i4>
      </vt:variant>
      <vt:variant>
        <vt:i4>0</vt:i4>
      </vt:variant>
      <vt:variant>
        <vt:i4>5</vt:i4>
      </vt:variant>
      <vt:variant>
        <vt:lpwstr>http://www.tivat.travel/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Profaktura br</dc:title>
  <dc:creator>Cile</dc:creator>
  <cp:lastModifiedBy>Windows User</cp:lastModifiedBy>
  <cp:revision>2</cp:revision>
  <cp:lastPrinted>2018-09-05T11:30:00Z</cp:lastPrinted>
  <dcterms:created xsi:type="dcterms:W3CDTF">2018-09-05T11:39:00Z</dcterms:created>
  <dcterms:modified xsi:type="dcterms:W3CDTF">2018-09-05T11:39:00Z</dcterms:modified>
</cp:coreProperties>
</file>