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 osnovu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člana 8 stav 2 tačka 1 alineja 1 Zakona o boravišnoj taksi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Slu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žbeni list RCG“, broj 11/04 i 13/04 i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Slu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žbeni list CG“, broj 73/10 i 48/15), Turistička organizacija Opštine Tivat objavljuje,</w:t>
      </w:r>
    </w:p>
    <w:p>
      <w:pPr>
        <w:spacing w:before="0" w:after="0" w:line="240"/>
        <w:ind w:right="-284" w:left="0" w:firstLine="0"/>
        <w:jc w:val="both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JAVNI POZIV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za 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češće u postupku raspodjele sredstava za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odabir projekata valorizacije kulturne baštine koji se odnose na arheološka istraživanja, konzervatorske i restauratorske radove, rekonstrukciju i promociju kulturnih dobara na teritoriji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Opštine Tivat</w:t>
      </w:r>
    </w:p>
    <w:p>
      <w:pPr>
        <w:spacing w:before="0" w:after="0" w:line="240"/>
        <w:ind w:right="347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347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Član 1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Predmet podr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ške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Predmet Javnog poziva je dodjela finansijskih sredstava koje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će izdvojiti Turistička organizacija Opštine Tivat (dalje: TO Tivat) za pokrivanje dijela troškova, odnosno finansiranje projekata valorizacije kulturne baštine koji se odnose na arheološka istraživanja, konzervatorske i restauratorske radove, rekonstrukciju i promociju kulturnih dobara na teritoriji opštine Tivat (dalje: Javni poziv).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347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Član 2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Ukupan iznos sredstava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Ukupna opredijeljena sredstva iznose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40.394,00€ (iznos sredstava od boravi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šne takse za 2022. godinu</w:t>
      </w: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shodno članu 8 stav 2 tačka 1 alineja 1 Zakona o boravišnoj taksi).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Sredstva se dodjeljuju na osnovu Javnog poziva i Zahtjeva za za u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češće u postupku raspodjele sredstava za odabir projekata valorizacije kulturne baštine koji se odnose na arheološka istraživanja, konzervatorske i restauratorske radove, rekonstrukciju i promociju kulturnih dobara na teritoriji Opštine Tivat (dalje: Zahtjev) i druge prateće dokumentacije shodno članu 9. ovog Javnog poziva.  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347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Član 3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Ciljevi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Dodijeljena sredstva namijenjena su projektima koje su nadle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žna stručna i pravna tijela u skladu sa Zakonom o zaštiti kulturnih dobara odobrila kao projekte valorizacije, rekonstrukcije, konzervacije i restauracije te projekte istraživanja, prezentacije i promocije kulturnih dobara na području opštine Tivat.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Projekti treba da doprinesu ja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čanju nedostajućih istraživanja kako materijalne tako nematerijalne baštine Tivta.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Cilj je TO Tivat da radi na razvoju bogate i raznovrsne kulturno-turisti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čke ponude, s čime su u skladu podrška istraživanju, zaštiti, pre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zentaciji tivatske baštine i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promociji kulturnih dobara na području opštine, odnosno ciljevi Javnog poziva.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Podr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šku mogu obezbijediti projekti koji ispunjavaju ciljeve: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2"/>
        </w:numPr>
        <w:spacing w:before="0" w:after="0" w:line="240"/>
        <w:ind w:right="0" w:left="144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Istra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živanja, zaštite i mogućnosti kvalitetne prezentacije kulturne baštine na teritoriji opštine Tivat.</w:t>
      </w:r>
    </w:p>
    <w:p>
      <w:pPr>
        <w:numPr>
          <w:ilvl w:val="0"/>
          <w:numId w:val="12"/>
        </w:numPr>
        <w:spacing w:before="0" w:after="0" w:line="240"/>
        <w:ind w:right="0" w:left="144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Oboga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ćuju kulturnu ponudu Opštine, odnosno promovišu prepoznata i potencijalna kulturna dobra na njenoj teritoriji.</w:t>
      </w:r>
    </w:p>
    <w:p>
      <w:pPr>
        <w:numPr>
          <w:ilvl w:val="0"/>
          <w:numId w:val="12"/>
        </w:numPr>
        <w:spacing w:before="0" w:after="0" w:line="240"/>
        <w:ind w:right="0" w:left="144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Unapre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đuju kulturni turizam, odnosno obogaćuju turistički proizvod Tivta.</w:t>
      </w:r>
    </w:p>
    <w:p>
      <w:pPr>
        <w:numPr>
          <w:ilvl w:val="0"/>
          <w:numId w:val="12"/>
        </w:numPr>
        <w:spacing w:before="0" w:after="0" w:line="240"/>
        <w:ind w:right="0" w:left="144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Doprinose imid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žu Tivta kao destinaciji prepoznatljivog, raznovrsnog i bogatog kulturno-istorijskog nasljeđa.</w:t>
      </w:r>
    </w:p>
    <w:p>
      <w:pPr>
        <w:numPr>
          <w:ilvl w:val="0"/>
          <w:numId w:val="12"/>
        </w:numPr>
        <w:spacing w:before="0" w:after="0" w:line="240"/>
        <w:ind w:right="0" w:left="144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Razvijaju sadr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žaj koji može produžiti trajanje turističke sezone.</w:t>
      </w:r>
    </w:p>
    <w:p>
      <w:pPr>
        <w:numPr>
          <w:ilvl w:val="0"/>
          <w:numId w:val="12"/>
        </w:numPr>
        <w:spacing w:before="0" w:after="0" w:line="240"/>
        <w:ind w:right="0" w:left="144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Nude programe obuke turisti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čkih radnika u oblasti poznavanja kulturnih dobara na području opštine Tivat.</w:t>
      </w:r>
    </w:p>
    <w:p>
      <w:pPr>
        <w:numPr>
          <w:ilvl w:val="0"/>
          <w:numId w:val="12"/>
        </w:numPr>
        <w:spacing w:before="0" w:after="0" w:line="240"/>
        <w:ind w:right="0" w:left="144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Nude planove za ture i obuku vodi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ča za teritoriju opštine Tivat koje osvjetljuju manje poznate segmenate kulturne baštine Tivta, odnosno tivatskog kulturnog pejzaža.</w:t>
      </w:r>
    </w:p>
    <w:p>
      <w:pPr>
        <w:numPr>
          <w:ilvl w:val="0"/>
          <w:numId w:val="12"/>
        </w:numPr>
        <w:spacing w:before="0" w:after="0" w:line="240"/>
        <w:ind w:right="0" w:left="144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Podr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žavaju obnovu starih zanata koji doprinose razvoju ruralnog i drugih vidova turizma.</w:t>
      </w:r>
    </w:p>
    <w:p>
      <w:pPr>
        <w:spacing w:before="0" w:after="0" w:line="240"/>
        <w:ind w:right="0" w:left="108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36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Budu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ći da je područje opštine Tivat kulturno-istorijski neodvojivo od svog okruženja, biće podržani i projekti za koje je opravdano da uključe i teritoriju susjednih opština, odnosno, za koje može biti važan takav kontekst, dok implementacija projekta mora biti vezana uz opštinu Tivat.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347" w:left="72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Član 4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Korisnici 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72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Pravo podno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šenja zahtjeva po Javnom pozivu imaju: </w:t>
      </w:r>
    </w:p>
    <w:p>
      <w:pPr>
        <w:widowControl w:val="false"/>
        <w:numPr>
          <w:ilvl w:val="0"/>
          <w:numId w:val="20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javne ustanove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za za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štitu kulturnih dobara koju je osnovala država ili opština za obavljanje konzervatorske, muzejske, bibliotečke, arhivske ili kinotečke djelatnosti;</w:t>
      </w:r>
    </w:p>
    <w:p>
      <w:pPr>
        <w:widowControl w:val="false"/>
        <w:numPr>
          <w:ilvl w:val="0"/>
          <w:numId w:val="20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nevladine organizacije, druge asocijacije i udru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ženja; </w:t>
      </w:r>
    </w:p>
    <w:p>
      <w:pPr>
        <w:widowControl w:val="false"/>
        <w:numPr>
          <w:ilvl w:val="0"/>
          <w:numId w:val="20"/>
        </w:numPr>
        <w:spacing w:before="0" w:after="68" w:line="240"/>
        <w:ind w:right="0" w:left="720" w:hanging="360"/>
        <w:jc w:val="both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pravna i fizi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čka lica shodno Zakonu o zaštiti kulturnih dobara.</w:t>
      </w:r>
    </w:p>
    <w:p>
      <w:pPr>
        <w:widowControl w:val="false"/>
        <w:spacing w:before="0" w:after="68" w:line="240"/>
        <w:ind w:right="0" w:left="36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Podnosilac zahtjeva mora biti registrovan u Crnoj Gori.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Sredstva za podr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šku realizaciji projekta se mogu dodijeliti i aplikantima sa sjedištem izvan tivatske opštine, samo u slučaju ako je implementacija projekta vezana za tivatsku opštinu.</w:t>
      </w:r>
    </w:p>
    <w:p>
      <w:pPr>
        <w:widowControl w:val="false"/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Podnosilac zahtjeva mo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 aplicirati samo sa jednim projektom. </w:t>
      </w:r>
    </w:p>
    <w:p>
      <w:pPr>
        <w:widowControl w:val="false"/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Broj projekata, kao i iznosi odobrene podr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ške, zavise od raspoloživog budžeta kao i od broja i kvaliteta pristiglih prijava. </w:t>
      </w:r>
    </w:p>
    <w:p>
      <w:pPr>
        <w:widowControl w:val="false"/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 Javni poziv ne mogu se prijaviti subjekti koji jo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 uvijek nijesu realizovali projekte kojima je odobrena porška u okviru ranijih Javnih poziva.</w:t>
      </w:r>
    </w:p>
    <w:p>
      <w:pPr>
        <w:widowControl w:val="false"/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347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Član 5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Sredstva se mogu koristiti za: 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2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finansiranje projekata koji ispunjavaju ciljeve navedene u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članu 3</w:t>
      </w:r>
    </w:p>
    <w:p>
      <w:pPr>
        <w:widowControl w:val="false"/>
        <w:numPr>
          <w:ilvl w:val="0"/>
          <w:numId w:val="2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izradu promotivnih bro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šura ili štampanog materijala koji doprinosi realizaciji projekta</w:t>
      </w:r>
    </w:p>
    <w:p>
      <w:pPr>
        <w:widowControl w:val="false"/>
        <w:numPr>
          <w:ilvl w:val="0"/>
          <w:numId w:val="2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nabavku radnog/potro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šnog materijala vezanog za realizaciju projekta</w:t>
      </w:r>
    </w:p>
    <w:p>
      <w:pPr>
        <w:widowControl w:val="false"/>
        <w:numPr>
          <w:ilvl w:val="0"/>
          <w:numId w:val="2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izradu digitalnih alata ili platormi potrebnih za realizaciju projekta </w:t>
      </w:r>
    </w:p>
    <w:p>
      <w:pPr>
        <w:widowControl w:val="false"/>
        <w:numPr>
          <w:ilvl w:val="0"/>
          <w:numId w:val="2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druge potrebe u svrhu realizacije projekta</w:t>
      </w:r>
    </w:p>
    <w:p>
      <w:pPr>
        <w:widowControl w:val="false"/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347" w:left="72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Član 6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Sredstva se ne mogu koristiti za: </w:t>
      </w:r>
    </w:p>
    <w:p>
      <w:pPr>
        <w:widowControl w:val="false"/>
        <w:numPr>
          <w:ilvl w:val="0"/>
          <w:numId w:val="34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kupovinu nekretnina (objekata i zemlji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šta), te prevoznih sredstava, </w:t>
      </w:r>
    </w:p>
    <w:p>
      <w:pPr>
        <w:widowControl w:val="false"/>
        <w:numPr>
          <w:ilvl w:val="0"/>
          <w:numId w:val="34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tro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škove redovnog poslovanja realizatora projekta (troškove prevoza i putovanja zaposlenih, studijska putovanja, za pokriće gubitaka, poreze i doprinose, kamate na kredite, carinske i uvozne takse ili bilo koje druge naknade), </w:t>
      </w:r>
    </w:p>
    <w:p>
      <w:pPr>
        <w:widowControl w:val="false"/>
        <w:numPr>
          <w:ilvl w:val="0"/>
          <w:numId w:val="34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izradu promotivnih i informativnih materijala nevezanih uz projekat (Internet stranice, prospekti, karte, CD, DVD, filmovi i dr.), </w:t>
      </w:r>
    </w:p>
    <w:p>
      <w:pPr>
        <w:widowControl w:val="false"/>
        <w:numPr>
          <w:ilvl w:val="0"/>
          <w:numId w:val="34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sve druge tro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škove koji nisu vezani za realizaciju projekta. 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347" w:left="72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Član 7</w:t>
      </w:r>
    </w:p>
    <w:p>
      <w:pPr>
        <w:spacing w:before="0" w:after="0" w:line="240"/>
        <w:ind w:right="347" w:left="72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Honorari</w:t>
      </w:r>
    </w:p>
    <w:p>
      <w:pPr>
        <w:spacing w:before="0" w:after="0" w:line="240"/>
        <w:ind w:right="347" w:left="72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Dodijeljena sredstva mogu pokrivati honorare u iznosu od maksimalno 30% redovnih prihoda stru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čnih lica-izvođača projekta, a u slučaju da za sredstva</w:t>
      </w:r>
      <w:r>
        <w:rPr>
          <w:rFonts w:ascii="Calibri" w:hAnsi="Calibri" w:cs="Calibri" w:eastAsia="Calibri"/>
          <w:color w:val="8E7CC3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aplicira javna ustanova čiji zaposlenici već primaju platu za zadatke definisane projektom, isti ne mogu aplicirati za honorare.</w:t>
      </w:r>
    </w:p>
    <w:p>
      <w:pPr>
        <w:spacing w:before="0" w:after="0" w:line="240"/>
        <w:ind w:right="347" w:left="72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347" w:left="72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Dodijeljena sredstva mogu pokriti honorare u iznosu od maksimalno 30% redovnih primanja lica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čiji je rad vezan uz organizacije definisane Čl. 4, stav b) ovoga konkursa.</w:t>
        <w:br/>
      </w:r>
    </w:p>
    <w:p>
      <w:pPr>
        <w:spacing w:before="0" w:after="0" w:line="240"/>
        <w:ind w:right="347" w:left="72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347" w:left="72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Komisija zadr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žava pravo na izuzetke, u posebnim slučajevima (saradnja sa nezaposlenim licima, saradnja s licima drugih organizacija i ustanova čiji rad na projektu nije vezan uz redovno zaposlenje, lica koja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ne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primaju platu u okviru udruženja koje aplicira za projekat i slično). </w:t>
      </w:r>
    </w:p>
    <w:p>
      <w:pPr>
        <w:spacing w:before="0" w:after="0" w:line="240"/>
        <w:ind w:right="347" w:left="72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U slu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čaju izuzetaka, može biti zatražena dodatna dokumentacija kojom se dokazuje opravdanost takvog slučaja.</w:t>
      </w:r>
    </w:p>
    <w:p>
      <w:pPr>
        <w:spacing w:before="0" w:after="0" w:line="240"/>
        <w:ind w:right="347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347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347" w:left="72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Član 8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Iznos podr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ške i prihvatljivost troškova </w:t>
      </w:r>
    </w:p>
    <w:p>
      <w:pPr>
        <w:widowControl w:val="false"/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Najve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ći iznos sredstava koji se može odobriti je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 85% opravdanih/prihvatljivih troškova, dok je maksimalan iznos podrške 15.000,00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€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 Predlog Odluke o iznosu podr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ške za svaki pojedinačan projekat donosi Komisija za odabir projekata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valorizacije kulturne baštine, koji se odnose na arheološka istraživanja, konzervatorske i restauratorske radove, rekonstrukciju i promociju kulturnih dobara (dalje: Komisija), a Odluku donosi direktor TO Tivat.</w:t>
      </w:r>
    </w:p>
    <w:p>
      <w:pPr>
        <w:spacing w:before="0" w:after="0" w:line="240"/>
        <w:ind w:right="347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347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Član 9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Potrebna dokumentacija: 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4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opunjen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Obrazac Zahtjev 2023.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_Prilog I (naziv projekta, osnovni podaci o podnosiocu projekta, podaci o projektu, potrebna sredstava za realizaciju projekta);</w:t>
      </w:r>
    </w:p>
    <w:p>
      <w:pPr>
        <w:widowControl w:val="false"/>
        <w:numPr>
          <w:ilvl w:val="0"/>
          <w:numId w:val="49"/>
        </w:numPr>
        <w:spacing w:before="0" w:after="68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popunjeni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Obrazac bud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žet 202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3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._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Prilog II (podaci koji se odnose na planirane prihode i rashode po stavkama);</w:t>
      </w:r>
    </w:p>
    <w:p>
      <w:pPr>
        <w:widowControl w:val="false"/>
        <w:numPr>
          <w:ilvl w:val="0"/>
          <w:numId w:val="4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Ovjerena fotokopija Statuta javne ustanove i/ili pravnog lica; </w:t>
      </w:r>
    </w:p>
    <w:p>
      <w:pPr>
        <w:widowControl w:val="false"/>
        <w:numPr>
          <w:ilvl w:val="0"/>
          <w:numId w:val="4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Biografija podnosioca prijave, kao i biografija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članova projektnog tima;</w:t>
      </w:r>
    </w:p>
    <w:p>
      <w:pPr>
        <w:widowControl w:val="false"/>
        <w:numPr>
          <w:ilvl w:val="0"/>
          <w:numId w:val="4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Ovjerena fotokopija dokaza o registraciji (pravnom statusu podnosioca zahtjeva);</w:t>
      </w:r>
    </w:p>
    <w:p>
      <w:pPr>
        <w:widowControl w:val="false"/>
        <w:numPr>
          <w:ilvl w:val="0"/>
          <w:numId w:val="4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Korisnici shodno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Čl. 4 Stav c) ovjerena fotokopija dokaza da je lice vlasnik, držalac ili staralac kulturnog dobra.</w:t>
      </w:r>
    </w:p>
    <w:p>
      <w:pPr>
        <w:widowControl w:val="false"/>
        <w:numPr>
          <w:ilvl w:val="0"/>
          <w:numId w:val="4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Potvrdu nadle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žne Poreske uprave o nepostojanju duga organizatora prema državi (ne stariju od 30 dana od dana slanja Zahtjeva);</w:t>
      </w:r>
    </w:p>
    <w:p>
      <w:pPr>
        <w:widowControl w:val="false"/>
        <w:numPr>
          <w:ilvl w:val="0"/>
          <w:numId w:val="4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Godi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šnji Finansijski izvještaj, bilansi stanja i uspjeha ovjeren od strane knjigovodtsvene-računovodstvene agencije;</w:t>
      </w:r>
    </w:p>
    <w:p>
      <w:pPr>
        <w:widowControl w:val="false"/>
        <w:numPr>
          <w:ilvl w:val="0"/>
          <w:numId w:val="4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t xml:space="preserve">Spisak prethodno realizovanih projekata podnosioca zahtjeva odnosno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t xml:space="preserve">članova projektnog tima u okviru Javnih poziva za učešće u postupku raspodjele sredstava za odabir projekata valorizacije kulturne baštine koji se odnose na arheološka istraživanja, konzervatorske i restauratorske radove, rekonstrukciju i promociju kulturnih dobara na teritoriji Opštine Tivat.</w:t>
      </w:r>
    </w:p>
    <w:p>
      <w:pPr>
        <w:widowControl w:val="false"/>
        <w:numPr>
          <w:ilvl w:val="0"/>
          <w:numId w:val="4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Ovjerena izjava podnosioca zahtjeva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da nema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vostrukog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finansiranja u cjelokupnom finansijskom iznosu, odnosno da se isti projekat ve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ć ne finansira u potpunosti iz sredstava budžeta Crne Gore, opština i/ili drugih subjekata;</w:t>
      </w:r>
    </w:p>
    <w:p>
      <w:pPr>
        <w:widowControl w:val="false"/>
        <w:numPr>
          <w:ilvl w:val="0"/>
          <w:numId w:val="4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Licence, ukoliko se aplikant javlja za projekte koji uklju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čuju aktivnosti za koje je to zakonom predviđeno;</w:t>
      </w:r>
    </w:p>
    <w:p>
      <w:pPr>
        <w:widowControl w:val="false"/>
        <w:numPr>
          <w:ilvl w:val="0"/>
          <w:numId w:val="4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Odobreni konzervatorski projekat za konzervatorski i restauratorske radove, valorizaciju i rekonstrukciju kulturnih dobara. </w:t>
      </w:r>
    </w:p>
    <w:p>
      <w:pPr>
        <w:widowControl w:val="false"/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72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Komisija zadr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žava pravo od podnosioca zahtjeva da zatraži dodatna pojašnjenja i dokumentaciju.</w:t>
      </w:r>
    </w:p>
    <w:p>
      <w:pPr>
        <w:widowControl w:val="false"/>
        <w:spacing w:before="0" w:after="0" w:line="240"/>
        <w:ind w:right="0" w:left="0" w:firstLine="72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347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Član 10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Kriterijumi za ocjenu Zahtjeva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Selekcija i ocjena Zahtjeva za dodjelu sredstava za realizaciju projekta vr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ši se prema sljedećim kriterijumima: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tbl>
      <w:tblPr>
        <w:tblInd w:w="360" w:type="dxa"/>
      </w:tblPr>
      <w:tblGrid>
        <w:gridCol w:w="805"/>
        <w:gridCol w:w="5188"/>
        <w:gridCol w:w="2997"/>
      </w:tblGrid>
      <w:tr>
        <w:trPr>
          <w:trHeight w:val="1" w:hRule="atLeast"/>
          <w:jc w:val="left"/>
        </w:trPr>
        <w:tc>
          <w:tcPr>
            <w:tcW w:w="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Redni broj</w:t>
            </w:r>
          </w:p>
        </w:tc>
        <w:tc>
          <w:tcPr>
            <w:tcW w:w="5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              Kriterijumi </w:t>
            </w:r>
          </w:p>
        </w:tc>
        <w:tc>
          <w:tcPr>
            <w:tcW w:w="2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Broj bodova</w:t>
              <w:br/>
              <w:t xml:space="preserve">Max 100 bodova </w:t>
            </w:r>
          </w:p>
        </w:tc>
      </w:tr>
      <w:tr>
        <w:trPr>
          <w:trHeight w:val="1" w:hRule="atLeast"/>
          <w:jc w:val="left"/>
        </w:trPr>
        <w:tc>
          <w:tcPr>
            <w:tcW w:w="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5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Zna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čaj projekta za ostvarivanje ciljeva navedenih u članu 3.</w:t>
            </w:r>
          </w:p>
        </w:tc>
        <w:tc>
          <w:tcPr>
            <w:tcW w:w="2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Do 60</w:t>
            </w:r>
          </w:p>
        </w:tc>
      </w:tr>
      <w:tr>
        <w:trPr>
          <w:trHeight w:val="1" w:hRule="atLeast"/>
          <w:jc w:val="left"/>
        </w:trPr>
        <w:tc>
          <w:tcPr>
            <w:tcW w:w="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5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Biografije korisnika - realizovani projekti podnosioca zahtjeva odnosno projektnog tima iz oblasti koja je predmet ovog Javnog poziva </w:t>
            </w:r>
          </w:p>
        </w:tc>
        <w:tc>
          <w:tcPr>
            <w:tcW w:w="2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Do 20</w:t>
            </w:r>
          </w:p>
        </w:tc>
      </w:tr>
      <w:tr>
        <w:trPr>
          <w:trHeight w:val="1" w:hRule="atLeast"/>
          <w:jc w:val="left"/>
        </w:trPr>
        <w:tc>
          <w:tcPr>
            <w:tcW w:w="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5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Izvodljivost - Uskla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đenost projektnog dokumenta sa dinamičkim planom i budžetom i metodologija monitoringa projekta</w:t>
            </w:r>
          </w:p>
        </w:tc>
        <w:tc>
          <w:tcPr>
            <w:tcW w:w="2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Do 20</w:t>
            </w:r>
          </w:p>
        </w:tc>
      </w:tr>
    </w:tbl>
    <w:p>
      <w:pPr>
        <w:spacing w:before="0" w:after="0" w:line="240"/>
        <w:ind w:right="347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347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347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347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347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Član 11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Objava Javnog poziva </w:t>
      </w:r>
    </w:p>
    <w:p>
      <w:pPr>
        <w:widowControl w:val="false"/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Javni poziv objavljuje se na Internet stranici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www.tivat.travel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Javni poziv je otvoren 30 dana od dana objavljivanja.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347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Član 12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Zahtjevi koji se ne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će razmatrati: </w:t>
      </w:r>
    </w:p>
    <w:p>
      <w:pPr>
        <w:widowControl w:val="false"/>
        <w:numPr>
          <w:ilvl w:val="0"/>
          <w:numId w:val="77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zahtjevi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čija dokumentacija nije kompletna, </w:t>
      </w:r>
    </w:p>
    <w:p>
      <w:pPr>
        <w:widowControl w:val="false"/>
        <w:numPr>
          <w:ilvl w:val="0"/>
          <w:numId w:val="77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zahtjevi sa nepotpuno ispunjenim Zahtjevom 2023,</w:t>
      </w:r>
    </w:p>
    <w:p>
      <w:pPr>
        <w:widowControl w:val="false"/>
        <w:numPr>
          <w:ilvl w:val="0"/>
          <w:numId w:val="77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zahtjevi koje dostave subjekti koji ne pripadaju definisanim kategorijama,</w:t>
      </w:r>
    </w:p>
    <w:p>
      <w:pPr>
        <w:widowControl w:val="false"/>
        <w:numPr>
          <w:ilvl w:val="0"/>
          <w:numId w:val="77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zahtjevi koje podnesu subjekti koji su prethodnih godina dobili sredstva od TOT, a nijesu izvr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šili ugovorne obaveze ili su nenamjenski utrošili dobijena sredstva,</w:t>
      </w:r>
    </w:p>
    <w:p>
      <w:pPr>
        <w:widowControl w:val="false"/>
        <w:numPr>
          <w:ilvl w:val="0"/>
          <w:numId w:val="77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Zahtjevi koji se odnose na projekte koji nijesu predmet ovog Poziva.</w:t>
      </w:r>
    </w:p>
    <w:p>
      <w:pPr>
        <w:widowControl w:val="false"/>
        <w:spacing w:before="0" w:after="71" w:line="240"/>
        <w:ind w:right="0" w:left="72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347" w:left="72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Član 13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Na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čin podnošenja zahtjeva i dokumentacije 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Cjelokupna dokumentacija iz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člana 9 ovog Javnog poziva podnosi se Turističkoj organizaciji opštine Tivat, i to u roku od 30 dana od dana objave Javnog poziva na Internet stranici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www.tivat.travel</w:t>
        </w:r>
      </w:hyperlink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Zahtjev sa prate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ćom dokumentacijom se dostavlja na adresu: Turistička organizacija Opštine Tivat, ul. Palih boraca 19, 85320 Tivat, na arhivi sa oznakom: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Zahtjeva za za u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češće u postupku raspodjele sredstava za odabir projekata valorizacije kulturne baštine koji se odnose na arheološka istraživanja, konzervatorske i restauratorske radove, rekonstrukciju i promociju kulturnih dobara na teritoriji Opštine Tivat“.</w:t>
      </w:r>
    </w:p>
    <w:p>
      <w:pPr>
        <w:widowControl w:val="false"/>
        <w:spacing w:before="0" w:after="0" w:line="240"/>
        <w:ind w:right="0" w:left="0" w:firstLine="720"/>
        <w:jc w:val="both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Nakon zavr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šenog javnog poziva dokumentacija se ne vraća.</w:t>
      </w: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347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347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Član 14</w:t>
      </w:r>
    </w:p>
    <w:p>
      <w:pPr>
        <w:spacing w:before="0" w:after="0" w:line="276"/>
        <w:ind w:right="347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Postupak dodjele sredstava</w:t>
      </w:r>
    </w:p>
    <w:p>
      <w:pPr>
        <w:widowControl w:val="false"/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Nakon zavr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šenog Javnog konkursa Komisija će razmotriti pristigle zahtjeve. Komisija će, u skladu sa Poslovnikom, pružiti savjetodavnu i stručnu podršku u roku trajanja Konkursa i donositi odluke u skladu s njime, uključujući eventualnu Odluku o produženom roku prijave.</w:t>
      </w:r>
    </w:p>
    <w:p>
      <w:pPr>
        <w:widowControl w:val="false"/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C00000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Popis projekata sa iznosom dodijeljenih sredstava bi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će objavljen na web stranici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www.tivat.travel</w:t>
        </w:r>
      </w:hyperlink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i to 21 dan od dana zavr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šetka Konkursa, odnosno produženog roka za prijavu, tj. dopunu dokumentacije.  </w:t>
      </w:r>
    </w:p>
    <w:p>
      <w:pPr>
        <w:spacing w:before="0" w:after="0" w:line="240"/>
        <w:ind w:right="347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347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Član 15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Rok za potpisivanje ugovora 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TOT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će sa Korisnikom potpisati ugovor nakon donošenja Odluke o dodjeli sredstava. Ugovorom se bliže uređuju međusobna prava i obaveze između TO Tivat i Korisnika: način korištenja podrške, način praćenja realizacije projekta, isplata podrške, nadzor namjenskog korištenja podrške i druga pitanja vezana za realizaciju projekta. Podnosilac projekta je isključivo odgovoran za izvršenje cjelokupnog projekta kao i prema trećim stranama, uključujući odgovornost za nastale štete ili povrede bilo koje vrste tokom sprovođenja ili usljed posljedica realizacije projekta.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347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Član 16</w:t>
      </w:r>
    </w:p>
    <w:p>
      <w:pPr>
        <w:spacing w:before="0" w:after="0" w:line="240"/>
        <w:ind w:right="347" w:left="0" w:firstLine="72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Na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čin isplate podrške</w:t>
      </w:r>
    </w:p>
    <w:p>
      <w:pPr>
        <w:widowControl w:val="false"/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Odobrena sredstva podr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ške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u iznosu od 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70% sredstava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mogu biti uplaćena nakon potpisivanja Ugovora, do jedan mjesec prije početka, a ostatak od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30%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nakon realizacije projekta i po prijemu potrebne vjerodostojne dokumentacije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(izvještaj o realizaciji projekta, finansijskog izvještaja i dokaza o namjenskom trošenju odobrenih sredstava, kao i dokaza o trošenju preostalih sredstava koje je obezbijedio korisnik i /ili drugi donator, utrošenim sredstvima podrške po vrstama, foto i/ili druga dokumentacija kojom se dokazuje realizacija projekta, računi izvođača/dobavljača i dokazi/dokumenti kojima se dokazuje realizacija projekta). </w:t>
      </w:r>
    </w:p>
    <w:p>
      <w:pPr>
        <w:widowControl w:val="false"/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Rok za dostavu vjerodostojne dokumentacije (projekat i ostali dokazi), a za isplatu odobrenih sredstava je 30 dana po zavr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šetku projekta. Naručilac zadržava pravo da prekine finansiranje na osnovu negativnog mišljenja Komisije. 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347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347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Član 17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Nadzor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Komisija imenovana od strane Skup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štine Opštine Tivat obavlja nadzor nad namjenskim korišćenjem odobrenih sredstava putem pisanog izvještaja sa pratećom dokumentacijom (dokazima o korišćenju sredstava) koje korisnik sredstava u ugovorenom roku dostavlja TO Tivat. 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Po potrebi, obavlja se i dodatni nadzor uvidom u dokumentaciju kod korisnika sredstava. 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U slu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čaju utvrđivanja objektivnih okolnosti koje su uticale na nemogućnost ispunjenja obaveza koje su utvrđene Ugovorom, korisnik sredstava je dužan odmah o tome obavijestiti TO Tivat pisanim putem. 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U slu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čaju utvrđivanja nepravilnosti u korišćenju odobrenih sredstava, direktor Stručne službe TO Tivat donijeće Odluku o povratu sredstava, a korisnik je dužan vratiti ista u roku od 15 dana od prijema odluke. 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347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Član 18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Obaveze korisnika su da:</w:t>
      </w:r>
    </w:p>
    <w:p>
      <w:pPr>
        <w:widowControl w:val="false"/>
        <w:numPr>
          <w:ilvl w:val="0"/>
          <w:numId w:val="104"/>
        </w:numPr>
        <w:spacing w:before="0" w:after="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Potpi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še Ugovor </w:t>
      </w:r>
    </w:p>
    <w:p>
      <w:pPr>
        <w:widowControl w:val="false"/>
        <w:numPr>
          <w:ilvl w:val="0"/>
          <w:numId w:val="104"/>
        </w:numPr>
        <w:spacing w:before="0" w:after="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Sredstva iskoristi namjenski </w:t>
      </w:r>
    </w:p>
    <w:p>
      <w:pPr>
        <w:widowControl w:val="false"/>
        <w:numPr>
          <w:ilvl w:val="0"/>
          <w:numId w:val="104"/>
        </w:numPr>
        <w:spacing w:before="0" w:after="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 realizaciji projekta koristi logo TO Tivat i isti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 podršku TO Tivat u realizaciji projekta</w:t>
      </w:r>
    </w:p>
    <w:p>
      <w:pPr>
        <w:widowControl w:val="false"/>
        <w:numPr>
          <w:ilvl w:val="0"/>
          <w:numId w:val="104"/>
        </w:numPr>
        <w:spacing w:before="0" w:after="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Turisti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čkoj organizaciji Tivat dostavi finansijski izvještaj o korišćenju sredstava (svih utrošenih sredstava uključujući sredstva uložena od strane korisnika i drugih partnera) sa pratećom dokumentacijom koja potvrđuje navode u izvještaju (kopije računa i ugovora za troškove, fotografije izvršenih radova i drugu dokumentaciju shodno ugovoru) </w:t>
      </w:r>
    </w:p>
    <w:p>
      <w:pPr>
        <w:widowControl w:val="false"/>
        <w:numPr>
          <w:ilvl w:val="0"/>
          <w:numId w:val="104"/>
        </w:numPr>
        <w:spacing w:before="0" w:after="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Dostavi Turisti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čkoj organizaciji Tivat izvještaj o realizaciji projekta (ostvareni rezultati, press clipping, fotografije, ciljevi  i sl.) </w:t>
      </w:r>
    </w:p>
    <w:p>
      <w:pPr>
        <w:widowControl w:val="false"/>
        <w:numPr>
          <w:ilvl w:val="0"/>
          <w:numId w:val="104"/>
        </w:numPr>
        <w:spacing w:before="0" w:after="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 zahtjev TO Tivat pru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ži na uvid i dodatnu naknadno traženu dokumentaciju </w:t>
      </w:r>
    </w:p>
    <w:p>
      <w:pPr>
        <w:widowControl w:val="false"/>
        <w:numPr>
          <w:ilvl w:val="0"/>
          <w:numId w:val="104"/>
        </w:numPr>
        <w:spacing w:before="0" w:after="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Realizuje i eventualne druge obaveze definisane ugovorom.  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 donesene odluke na osnovu Javnog poziva podnosilac ima pravo za podno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šenje prigovora Komisiji za odabir projekata valorizacije kulturne baštine koji se odnose na arheološka istraživanja, konzervatorske i restauratorske radove, rekonstrukciju i promociju kulturnih dobara u roku od 7 dana od dana donošenja Odluke.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Odluka Komisije po prigovoru je kona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čna.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Rok za podno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šenje prijava/zahtjeva je 30 dana od dana objave Javnog poziva.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Rok za realizaciju projekta 1. maj 2024. godine. Rok za podno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šenje dokumentacije po završenom projektu 20.maj 2024.godine. 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124" w:firstLine="707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                  Prilog 1_Zahtjev 2023.</w:t>
      </w:r>
    </w:p>
    <w:p>
      <w:pPr>
        <w:spacing w:before="0" w:after="0" w:line="240"/>
        <w:ind w:right="0" w:left="1416" w:firstLine="707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416" w:firstLine="707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Z A H T J E V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za 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češće u postupku raspodjele sredstava za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odabir projekata valorizacije kulturne baštine koji se odnose na arheološka istraživanja, konzervatorske i restauratorske radove, rekonstrukciju i promociju kulturnih dobara na teritoriji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Opštine Tivat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tbl>
      <w:tblPr>
        <w:tblInd w:w="360" w:type="dxa"/>
      </w:tblPr>
      <w:tblGrid>
        <w:gridCol w:w="3434"/>
        <w:gridCol w:w="5494"/>
      </w:tblGrid>
      <w:tr>
        <w:trPr>
          <w:trHeight w:val="554" w:hRule="auto"/>
          <w:jc w:val="left"/>
        </w:trPr>
        <w:tc>
          <w:tcPr>
            <w:tcW w:w="89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Osnovni podaci o podnosiocu projekta</w:t>
            </w:r>
          </w:p>
        </w:tc>
      </w:tr>
      <w:tr>
        <w:trPr>
          <w:trHeight w:val="1" w:hRule="atLeast"/>
          <w:jc w:val="left"/>
        </w:trPr>
        <w:tc>
          <w:tcPr>
            <w:tcW w:w="34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Podnosilac projekta</w:t>
            </w:r>
          </w:p>
        </w:tc>
        <w:tc>
          <w:tcPr>
            <w:tcW w:w="54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4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Kategorija podnosioca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4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121"/>
              </w:numPr>
              <w:spacing w:before="0" w:after="0" w:line="240"/>
              <w:ind w:right="0" w:left="720" w:hanging="36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javne ustanove za za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štitu kulturnih dobara</w:t>
            </w:r>
          </w:p>
          <w:p>
            <w:pPr>
              <w:widowControl w:val="false"/>
              <w:numPr>
                <w:ilvl w:val="0"/>
                <w:numId w:val="121"/>
              </w:numPr>
              <w:spacing w:before="0" w:after="68" w:line="240"/>
              <w:ind w:right="0" w:left="720" w:hanging="36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nevladine organizacije, druge asocijacije i udru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ženja</w:t>
            </w:r>
          </w:p>
          <w:p>
            <w:pPr>
              <w:widowControl w:val="false"/>
              <w:numPr>
                <w:ilvl w:val="0"/>
                <w:numId w:val="121"/>
              </w:numPr>
              <w:spacing w:before="0" w:after="68" w:line="240"/>
              <w:ind w:right="0" w:left="720" w:hanging="360"/>
              <w:jc w:val="both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pravna i fizi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čka lica shodno Zakonu o zaštiti kulturnih dobara. </w:t>
            </w:r>
          </w:p>
        </w:tc>
      </w:tr>
      <w:tr>
        <w:trPr>
          <w:trHeight w:val="1" w:hRule="atLeast"/>
          <w:jc w:val="left"/>
        </w:trPr>
        <w:tc>
          <w:tcPr>
            <w:tcW w:w="34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Adresa/sjedi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šte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4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4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Telefon/telefaks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4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4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E-mail i internet adresa </w:t>
            </w:r>
          </w:p>
        </w:tc>
        <w:tc>
          <w:tcPr>
            <w:tcW w:w="54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4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PIB i mati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čni broj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4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4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Odgovorna osoba za realizaciju projekta (ime, prezime, funkcija)</w:t>
            </w:r>
          </w:p>
        </w:tc>
        <w:tc>
          <w:tcPr>
            <w:tcW w:w="54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4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Osoba za kontakt (ime, prezime, funkcija, br. Telefona)</w:t>
            </w:r>
          </w:p>
        </w:tc>
        <w:tc>
          <w:tcPr>
            <w:tcW w:w="54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4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Poslovna banka podnosioca projekta</w:t>
            </w:r>
          </w:p>
        </w:tc>
        <w:tc>
          <w:tcPr>
            <w:tcW w:w="54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4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Broj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žiro računa podnosioca projekta</w:t>
            </w:r>
          </w:p>
        </w:tc>
        <w:tc>
          <w:tcPr>
            <w:tcW w:w="54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4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Najzna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čajniji projekti podnosioca zahtjeva realizovani u prethodne tri godine</w:t>
            </w:r>
          </w:p>
        </w:tc>
        <w:tc>
          <w:tcPr>
            <w:tcW w:w="54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4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Ukoliko postoji partnerstvo navesti podatke/detalje o partneru</w:t>
            </w:r>
          </w:p>
        </w:tc>
        <w:tc>
          <w:tcPr>
            <w:tcW w:w="54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tbl>
      <w:tblPr>
        <w:tblInd w:w="360" w:type="dxa"/>
      </w:tblPr>
      <w:tblGrid>
        <w:gridCol w:w="2335"/>
        <w:gridCol w:w="6655"/>
      </w:tblGrid>
      <w:tr>
        <w:trPr>
          <w:trHeight w:val="543" w:hRule="auto"/>
          <w:jc w:val="left"/>
        </w:trPr>
        <w:tc>
          <w:tcPr>
            <w:tcW w:w="89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Podaci o projektu</w:t>
            </w:r>
          </w:p>
        </w:tc>
      </w:tr>
      <w:tr>
        <w:trPr>
          <w:trHeight w:val="1187" w:hRule="auto"/>
          <w:jc w:val="left"/>
        </w:trPr>
        <w:tc>
          <w:tcPr>
            <w:tcW w:w="2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Naziv projekta</w:t>
            </w:r>
          </w:p>
        </w:tc>
        <w:tc>
          <w:tcPr>
            <w:tcW w:w="6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016" w:hRule="auto"/>
          <w:jc w:val="left"/>
        </w:trPr>
        <w:tc>
          <w:tcPr>
            <w:tcW w:w="2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Termin i mjesto realizacije projekta</w:t>
            </w:r>
          </w:p>
        </w:tc>
        <w:tc>
          <w:tcPr>
            <w:tcW w:w="6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Sadr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žaj / opis projekta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(forma, ideja i koncept projekta, fokus i/ili tema)</w:t>
            </w:r>
          </w:p>
        </w:tc>
        <w:tc>
          <w:tcPr>
            <w:tcW w:w="6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Cilj projekta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Projektne aktivnosti i kalendar realizacije (navedite sve planirane aktivnosti, vremenski okvir realizacije, plan medijske prezentacije)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Molimo da imate na umu da ovaj period treba da obuhvati i vrijeme potrebno za pripremu aktivnosti, kao i za izvje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štavanje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tbl>
            <w:tblPr/>
            <w:tblGrid>
              <w:gridCol w:w="1128"/>
              <w:gridCol w:w="863"/>
              <w:gridCol w:w="863"/>
              <w:gridCol w:w="863"/>
              <w:gridCol w:w="863"/>
              <w:gridCol w:w="863"/>
              <w:gridCol w:w="863"/>
            </w:tblGrid>
            <w:tr>
              <w:trPr>
                <w:trHeight w:val="1" w:hRule="atLeast"/>
                <w:jc w:val="left"/>
              </w:trPr>
              <w:tc>
                <w:tcPr>
                  <w:tcW w:w="112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5178" w:type="dxa"/>
                  <w:gridSpan w:val="6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Mjeseci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112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1</w:t>
                  </w: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2</w:t>
                  </w: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3</w:t>
                  </w: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4</w:t>
                  </w: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5</w:t>
                  </w: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6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112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  <w:t xml:space="preserve">Aktivnost 1</w:t>
                  </w: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112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  <w:t xml:space="preserve">Aktivnost 2</w:t>
                  </w: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112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  <w:t xml:space="preserve">Aktivnost 3</w:t>
                  </w: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112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  <w:t xml:space="preserve">Aktivnost 4</w:t>
                  </w: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112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  <w:t xml:space="preserve">Aktivnost 5</w:t>
                  </w: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112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  <w:t xml:space="preserve">Aktivnost 6</w:t>
                  </w: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112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  <w:t xml:space="preserve">Aktivnost 7</w:t>
                  </w: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112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  <w:t xml:space="preserve">Aktivnost 8</w:t>
                  </w: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112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  <w:t xml:space="preserve">Aktivnost 9</w:t>
                  </w: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112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112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112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14" w:type="dxa"/>
                    <w:right w:w="114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Ciljne grupe kojima je projekat namijenjen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čekivani rezultati projekta</w:t>
            </w:r>
          </w:p>
        </w:tc>
        <w:tc>
          <w:tcPr>
            <w:tcW w:w="6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Vidljivost rezultata projekta i medijska pokrivenost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</w:pPr>
    </w:p>
    <w:tbl>
      <w:tblPr>
        <w:tblInd w:w="360" w:type="dxa"/>
      </w:tblPr>
      <w:tblGrid>
        <w:gridCol w:w="3576"/>
        <w:gridCol w:w="5352"/>
      </w:tblGrid>
      <w:tr>
        <w:trPr>
          <w:trHeight w:val="480" w:hRule="auto"/>
          <w:jc w:val="left"/>
        </w:trPr>
        <w:tc>
          <w:tcPr>
            <w:tcW w:w="89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Potrebna sredstva za realizaciju projekta/ izvori finansiranja projekta u 2023. - iznos u €</w:t>
            </w:r>
          </w:p>
        </w:tc>
      </w:tr>
      <w:tr>
        <w:trPr>
          <w:trHeight w:val="1" w:hRule="atLeast"/>
          <w:jc w:val="left"/>
        </w:trPr>
        <w:tc>
          <w:tcPr>
            <w:tcW w:w="3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Ukupan iznos potrebnih sredstava za realizaciju projekta u €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Vlastita sredstva realizatora projekta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U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čestvovanje drugih subjekata javnog i/ili privatnog sektora (navesti izvore i iznose)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Tra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ženi iznos podrške od TOT-a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tbl>
      <w:tblPr>
        <w:tblInd w:w="360" w:type="dxa"/>
      </w:tblPr>
      <w:tblGrid>
        <w:gridCol w:w="4464"/>
        <w:gridCol w:w="4464"/>
      </w:tblGrid>
      <w:tr>
        <w:trPr>
          <w:trHeight w:val="1" w:hRule="atLeast"/>
          <w:jc w:val="left"/>
        </w:trPr>
        <w:tc>
          <w:tcPr>
            <w:tcW w:w="89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NAPOMENA: Uz ovaj Zahtjev potrebno je prilo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žiti i ostalu cjelokupnu dokumentaciju navedenu u Javnom pozivu.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Mjesto i datum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4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Pe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čat i potpis odgovorne osobe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Prilog II_Obrazac TPR 2023.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FF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ŠKOVNIK PLANIRANIH PRIHODA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 RASHODA REALIZACIJE PROJEKTA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912"/>
        <w:gridCol w:w="4756"/>
      </w:tblGrid>
      <w:tr>
        <w:trPr>
          <w:trHeight w:val="567" w:hRule="auto"/>
          <w:jc w:val="left"/>
        </w:trPr>
        <w:tc>
          <w:tcPr>
            <w:tcW w:w="49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Naziv podnosioca: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7" w:hRule="auto"/>
          <w:jc w:val="left"/>
        </w:trPr>
        <w:tc>
          <w:tcPr>
            <w:tcW w:w="49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Naziv projekta: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7" w:hRule="auto"/>
          <w:jc w:val="left"/>
        </w:trPr>
        <w:tc>
          <w:tcPr>
            <w:tcW w:w="49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Ime i prezime odgovorne osobe: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7" w:hRule="auto"/>
          <w:jc w:val="left"/>
        </w:trPr>
        <w:tc>
          <w:tcPr>
            <w:tcW w:w="49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Adresa, telefon, e-mail: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Realizator projekta popunjava tablicu bud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žeta (troškovi i prihodi) shodno individualnim potrebama u skladu sa članovima 5, 6, 7 ovog Javnog poziva. 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810"/>
        <w:gridCol w:w="4050"/>
        <w:gridCol w:w="1350"/>
        <w:gridCol w:w="1620"/>
        <w:gridCol w:w="1890"/>
      </w:tblGrid>
      <w:tr>
        <w:trPr>
          <w:trHeight w:val="300" w:hRule="auto"/>
          <w:jc w:val="left"/>
        </w:trPr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405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Opis tro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škova</w:t>
            </w:r>
          </w:p>
        </w:tc>
        <w:tc>
          <w:tcPr>
            <w:tcW w:w="135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Koli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čina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Vrijednost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Ukupno €</w:t>
            </w:r>
          </w:p>
        </w:tc>
      </w:tr>
      <w:tr>
        <w:trPr>
          <w:trHeight w:val="300" w:hRule="auto"/>
          <w:jc w:val="left"/>
        </w:trPr>
        <w:tc>
          <w:tcPr>
            <w:tcW w:w="81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6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8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81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6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8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81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6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8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81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6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8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</w:tbl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26"/>
        <w:gridCol w:w="6096"/>
        <w:gridCol w:w="3084"/>
      </w:tblGrid>
      <w:tr>
        <w:trPr>
          <w:trHeight w:val="567" w:hRule="auto"/>
          <w:jc w:val="left"/>
        </w:trPr>
        <w:tc>
          <w:tcPr>
            <w:tcW w:w="652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Opis prihoda</w:t>
            </w:r>
          </w:p>
        </w:tc>
        <w:tc>
          <w:tcPr>
            <w:tcW w:w="30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Planirani iznos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60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60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60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7" w:hRule="auto"/>
          <w:jc w:val="left"/>
        </w:trPr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UKUPNO planirani prihodi</w:t>
            </w:r>
          </w:p>
        </w:tc>
        <w:tc>
          <w:tcPr>
            <w:tcW w:w="30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Molimo da navedete sopstvene resurse koje ste spremni da unesete u implementaciju projekta (prostorije, oprema, potro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šni materijal, ljudski resursi) i druge izvore finansiranja. 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Mjesto i datum</w:t>
        <w:tab/>
        <w:t xml:space="preserve">                                                          Ime i prezime i potpis odgovorne osobe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  <w:t xml:space="preserve">         (pe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čat)</w:t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567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12">
    <w:abstractNumId w:val="42"/>
  </w:num>
  <w:num w:numId="20">
    <w:abstractNumId w:val="36"/>
  </w:num>
  <w:num w:numId="29">
    <w:abstractNumId w:val="30"/>
  </w:num>
  <w:num w:numId="34">
    <w:abstractNumId w:val="24"/>
  </w:num>
  <w:num w:numId="49">
    <w:abstractNumId w:val="18"/>
  </w:num>
  <w:num w:numId="77">
    <w:abstractNumId w:val="12"/>
  </w:num>
  <w:num w:numId="104">
    <w:abstractNumId w:val="6"/>
  </w:num>
  <w:num w:numId="12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tivat.travel/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://www.tivat.travel/" Id="docRId0" Type="http://schemas.openxmlformats.org/officeDocument/2006/relationships/hyperlink" /><Relationship TargetMode="External" Target="http://www.tivat.travel/" Id="docRId2" Type="http://schemas.openxmlformats.org/officeDocument/2006/relationships/hyperlink" /><Relationship Target="styles.xml" Id="docRId4" Type="http://schemas.openxmlformats.org/officeDocument/2006/relationships/styles" /></Relationships>
</file>